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HRM.11.f — Professionals admit and care as per privileging.</w:t>
      </w:r>
    </w:p>
    <w:p>
      <w:r>
        <w:rPr>
          <w:b/>
          <w:sz w:val="30"/>
        </w:rPr>
        <w:t>HRM.11 Record 8 — Professionals admit and care as per privileging.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“Standardised privileging-format record, applied uniformly.” — the specific evidence element Professionals admit and care as per privileging. of this policy asks for. Every time this happens for real, whoever is responsible adds one new row below with: Date, Professional Name, Spot-Check Finding, Within Privileging (Y/N), Action if Not.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fills this in whenever a doctor's actual practice is spot-checked against their granted privileges. The worked example below shows a real entry: on 16-Jan-2026, professional name was 'Dr. P. Malhotra', within privileging (y/n) was 'Y' — so spot-check finding was 'Case-record review of procedures performed this month'.</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privileging record means nothing if practice on the ward doesn't actually stay inside it — this is the check that confirms it does, not just that the paperwork exists.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Date: </w:t>
      </w:r>
      <w:r>
        <w:t>The actual date this spot-check was done.</w:t>
      </w:r>
    </w:p>
    <w:p>
      <w:pPr>
        <w:pStyle w:val="ListParagraph"/>
      </w:pPr>
      <w:r>
        <w:rPr>
          <w:b/>
        </w:rPr>
        <w:t xml:space="preserve">Professional Name: </w:t>
      </w:r>
      <w:r>
        <w:t>The professional checked.</w:t>
      </w:r>
    </w:p>
    <w:p>
      <w:pPr>
        <w:pStyle w:val="ListParagraph"/>
      </w:pPr>
      <w:r>
        <w:rPr>
          <w:b/>
        </w:rPr>
        <w:t xml:space="preserve">Spot-Check Finding: </w:t>
      </w:r>
      <w:r>
        <w:t>What was actually checked and found.</w:t>
      </w:r>
    </w:p>
    <w:p>
      <w:pPr>
        <w:pStyle w:val="ListParagraph"/>
      </w:pPr>
      <w:r>
        <w:rPr>
          <w:b/>
        </w:rPr>
        <w:t xml:space="preserve">Within Privileging (Y/N): </w:t>
      </w:r>
      <w:r>
        <w:t>Whether practice actually stayed within the granted privileging.</w:t>
      </w:r>
    </w:p>
    <w:p>
      <w:pPr>
        <w:pStyle w:val="ListParagraph"/>
      </w:pPr>
      <w:r>
        <w:rPr>
          <w:b/>
        </w:rPr>
        <w:t xml:space="preserve">Action if Not: </w:t>
      </w:r>
      <w:r>
        <w:t>If not, the action taken — this is a stop-work matter under Section 6.</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Professional Name</w:t>
            </w:r>
          </w:p>
        </w:tc>
        <w:tc>
          <w:tcPr>
            <w:tcW w:type="dxa" w:w="1936"/>
            <w:shd w:val="clear" w:fill="D9E2F3"/>
          </w:tcPr>
          <w:p>
            <w:r/>
            <w:r>
              <w:rPr>
                <w:b/>
                <w:sz w:val="20"/>
              </w:rPr>
              <w:t>Spot-Check Finding</w:t>
            </w:r>
          </w:p>
        </w:tc>
        <w:tc>
          <w:tcPr>
            <w:tcW w:type="dxa" w:w="1936"/>
            <w:shd w:val="clear" w:fill="D9E2F3"/>
          </w:tcPr>
          <w:p>
            <w:r/>
            <w:r>
              <w:rPr>
                <w:b/>
                <w:sz w:val="20"/>
              </w:rPr>
              <w:t>Within Privileging (Y/N)</w:t>
            </w:r>
          </w:p>
        </w:tc>
        <w:tc>
          <w:tcPr>
            <w:tcW w:type="dxa" w:w="1936"/>
            <w:shd w:val="clear" w:fill="D9E2F3"/>
          </w:tcPr>
          <w:p>
            <w:r/>
            <w:r>
              <w:rPr>
                <w:b/>
                <w:sz w:val="20"/>
              </w:rPr>
              <w:t>Action if Not</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16-Jan-2026</w:t>
            </w:r>
          </w:p>
        </w:tc>
        <w:tc>
          <w:tcPr>
            <w:tcW w:type="dxa" w:w="1936"/>
            <w:shd w:val="clear" w:fill="FFF2CC"/>
          </w:tcPr>
          <w:p>
            <w:r/>
            <w:r>
              <w:rPr>
                <w:b w:val="0"/>
                <w:sz w:val="20"/>
              </w:rPr>
              <w:t>Dr. P. Malhotra</w:t>
            </w:r>
          </w:p>
        </w:tc>
        <w:tc>
          <w:tcPr>
            <w:tcW w:type="dxa" w:w="1936"/>
            <w:shd w:val="clear" w:fill="FFF2CC"/>
          </w:tcPr>
          <w:p>
            <w:r/>
            <w:r>
              <w:rPr>
                <w:b w:val="0"/>
                <w:sz w:val="20"/>
              </w:rPr>
              <w:t>Case-record review of procedures performed this month</w:t>
            </w:r>
          </w:p>
        </w:tc>
        <w:tc>
          <w:tcPr>
            <w:tcW w:type="dxa" w:w="1936"/>
            <w:shd w:val="clear" w:fill="FFF2CC"/>
          </w:tcPr>
          <w:p>
            <w:r/>
            <w:r>
              <w:rPr>
                <w:b w:val="0"/>
                <w:sz w:val="20"/>
              </w:rPr>
              <w:t>Y</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