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HRM.3.a — Induction training provided.</w:t>
      </w:r>
    </w:p>
    <w:p>
      <w:r>
        <w:rPr>
          <w:b/>
          <w:sz w:val="30"/>
        </w:rPr>
        <w:t>HRM.3 Record 3 — Induction training provided.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“Induction-content record covering HRM.3.b–j.” — the specific evidence element Induction training provided. of this policy asks for. Every time this happens for real, whoever is responsible adds one new row below with: Trainee Name, Booklet/Session Format, Topics Included, Department-Level Session Held (Y/N),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staff member, consultant, outsourced worker, volunteer, student or trainee within one month of joining. The worked example below shows a real entry: on 14-Jan-2026, trainee name was 'A. Krishnan (Staff Nurse)', booklet/session format was 'Printed induction booklet + group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new staff member with no induction is operating inside the hospital blind on its rights, safety practices and their own specific duties during their first, highest-risk month — NABH treats this as CORE.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Trainee Name: </w:t>
      </w:r>
      <w:r>
        <w:t>The actual trainee.</w:t>
      </w:r>
    </w:p>
    <w:p>
      <w:pPr>
        <w:pStyle w:val="ListParagraph"/>
      </w:pPr>
      <w:r>
        <w:rPr>
          <w:b/>
        </w:rPr>
        <w:t xml:space="preserve">Booklet/Session Format: </w:t>
      </w:r>
      <w:r>
        <w:t>The real format used — booklet, session, or both.</w:t>
      </w:r>
    </w:p>
    <w:p>
      <w:pPr>
        <w:pStyle w:val="ListParagraph"/>
      </w:pPr>
      <w:r>
        <w:rPr>
          <w:b/>
        </w:rPr>
        <w:t xml:space="preserve">Topics Included: </w:t>
      </w:r>
      <w:r>
        <w:t>List which of 5.2–5.9 were actually included — don't just write 'all.'</w:t>
      </w:r>
    </w:p>
    <w:p>
      <w:pPr>
        <w:pStyle w:val="ListParagraph"/>
      </w:pPr>
      <w:r>
        <w:rPr>
          <w:b/>
        </w:rPr>
        <w:t xml:space="preserve">Department-Level Session Held (Y/N): </w:t>
      </w:r>
      <w:r>
        <w:t>Whether a separate department-level session was actually held, as required alongside the organisational-level one.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Trainee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Booklet/Session Format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Topics Included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Department-Level Session Held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A. Krishnan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Printed induction booklet + group session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5.2 Vision/mission, 5.3 rights, 5.4 safety, 5.5 CPR, 5.6 IPC, 5.7 service standards, 5.8 admin, 5.9 information systems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