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HRM.4.e — Evaluation of training effectiveness.</w:t>
      </w:r>
    </w:p>
    <w:p>
      <w:r>
        <w:rPr>
          <w:b/>
          <w:sz w:val="30"/>
        </w:rPr>
        <w:t>HRM.4 Record 11 — Evaluation of training effectiveness.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“Immediate post-training evaluation record — pre/post-test.” — the specific evidence element Evaluation of training effectiveness. of this policy asks for. Every time this happens for real, whoever is responsible adds one new row below with: Staff Name, Training, Immediate Evaluation (Pre/Post-test), Lapsed-Period Evaluation, Retraining Needed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trainer or department head fills this in immediately after training, and again after the defined lapsed period. The worked example below shows a real entry: staff name was 'M. Joshi (Staff Nurse)', training was 'Hand hygiene technique'.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Training that's delivered but never checked for real on-the-job impact — immediately and again after time has passed — could be pure box-ticking rather than actual skill transfer.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Staff Name: </w:t>
      </w:r>
      <w:r>
        <w:t>The actual staff member evaluated.</w:t>
      </w:r>
    </w:p>
    <w:p>
      <w:pPr>
        <w:pStyle w:val="ListParagraph"/>
      </w:pPr>
      <w:r>
        <w:rPr>
          <w:b/>
        </w:rPr>
        <w:t xml:space="preserve">Training: </w:t>
      </w:r>
      <w:r>
        <w:t>The specific training being evaluated.</w:t>
      </w:r>
    </w:p>
    <w:p>
      <w:pPr>
        <w:pStyle w:val="ListParagraph"/>
      </w:pPr>
      <w:r>
        <w:rPr>
          <w:b/>
        </w:rPr>
        <w:t xml:space="preserve">Immediate Evaluation (Pre/Post-test): </w:t>
      </w:r>
      <w:r>
        <w:t>The real pre- and post-test scores or observed result immediately after training.</w:t>
      </w:r>
    </w:p>
    <w:p>
      <w:pPr>
        <w:pStyle w:val="ListParagraph"/>
      </w:pPr>
      <w:r>
        <w:rPr>
          <w:b/>
        </w:rPr>
        <w:t xml:space="preserve">Lapsed-Period Evaluation: </w:t>
      </w:r>
      <w:r>
        <w:t>The real result of the later, lapsed-period check.</w:t>
      </w:r>
    </w:p>
    <w:p>
      <w:pPr>
        <w:pStyle w:val="ListParagraph"/>
      </w:pPr>
      <w:r>
        <w:rPr>
          <w:b/>
        </w:rPr>
        <w:t xml:space="preserve">Retraining Needed (Y/N): </w:t>
      </w:r>
      <w:r>
        <w:t>Whether retraining was actually needed based on these results.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Training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Immediate Evaluation (Pre/Post-test)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Lapsed-Period Evaluation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Retraining Needed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M. Joshi (Staff Nurse)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Hand hygiene technique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Pre 60% / Post 92%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Re-checked at 3 months — 88%, technique sustained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