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HRM.6.a — Safety programme training.</w:t>
      </w:r>
    </w:p>
    <w:p>
      <w:r>
        <w:rPr>
          <w:b/>
          <w:sz w:val="30"/>
        </w:rPr>
        <w:t>HRM.6 Record 2 — Safety programme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“Laboratory- or imaging-specific safety-training record, where applicable.” — the specific evidence element Safety programme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Officer fills this in whenever staff complete safety-programme training, including department-specific sessions for lab/imaging staff. The worked example below shows a real entry: on 10-Jan-2026, staff name was 'R. Sharma (Lab Technician)', topic / course was 'Organisation's safety programme, including laboratory-specific safety'.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were never actually trained in the hospital's own safety programme can't be expected to follow it, and laboratory/imaging staff need their department-specific version on top.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R. Sharma (Lab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Organisation's safety programme, including laboratory-specific safety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Safety Officer + Lab In-Charge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