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HRM.8.d — Procedure in consonance with prevailing laws.</w:t>
      </w:r>
    </w:p>
    <w:p>
      <w:r>
        <w:rPr>
          <w:b/>
          <w:sz w:val="30"/>
        </w:rPr>
        <w:t>HRM.8 Record 5 — Procedure in consonance with prevailing laws.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“Labour-law compliance record for the disciplinary and grievance procedure, with a legal-currency review record.” — the specific evidence element Procedure in consonance with prevailing laws. of this policy asks for. Every time this happens for real, whoever is responsible adds one new row below with: Version, Date Approved, Approved By, Covers,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the procedure is checked against current labour law, and whenever the Internal Complaints Committee is constituted or reviewed. The worked example below shows a real entry: on 10-Jan-2026, version was 'v1.0', approved by was 'HR In-Charge / Medical Superintendent'.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disciplinary or grievance procedure that ignores applicable labour law — or has no Internal Complaints Committee for sexual-harassment complaints — is a direct legal and staff-safety failure, which is why NABH treats it as CORE.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for this guidance document.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pPr>
        <w:pStyle w:val="ListParagraph"/>
      </w:pPr>
      <w:r>
        <w:rPr>
          <w:b/>
        </w:rPr>
        <w:t xml:space="preserve">Covers: </w:t>
      </w:r>
      <w:r>
        <w:t>What this specific version actually covers — confirm bullying/harassment are named explicitly, not implied.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document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Covers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HR In-Charge /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Disciplinary process, grievance redress, appeals, and workplace issues including bullying and harassment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