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HRM.8.e — Provision for appeals in all disciplinary cases.</w:t>
      </w:r>
    </w:p>
    <w:p>
      <w:r>
        <w:rPr>
          <w:b/>
          <w:sz w:val="30"/>
        </w:rPr>
        <w:t>HRM.8 Record 7 — Provision for appeals in all disciplinary cases.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“Appellate-authority designation record, higher than the disciplinary authority, and appeal-case record showing the provision was used.” — the specific evidence element Provision for appeals in all disciplinary cases. of this policy asks for. Every time this happens for real, whoever is responsible adds one new row below with: Appellate Authority Designated, Original Case, Appeal Raised (Y/N), Appeal Outcome, Date.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HR In-Charge fills this in whenever an appeal is actually raised and heard by the designated higher authority. The worked example below shows a real entry: on 22-Jan-2026, appellate authority designated was 'Medical Superintendent (higher than the Department Head who issued the original decision)', original case was 'V. Kumar (Ward Assistant) — written warning for repeated late attendance' — so appeal outcome was 'Process upheld as followed correctly; warning stands'.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disciplinary decision with no appeal route to a higher authority is final even when it's wrong. NABH checks this as part of how a genuinely competent, safe workforce is actually built and kept, not just what's written about it.</w:t>
            </w:r>
          </w:p>
        </w:tc>
      </w:tr>
    </w:tbl>
    <w:p/>
    <w:p>
      <w:r>
        <w:rPr>
          <w:b/>
          <w:sz w:val="22"/>
        </w:rPr>
        <w:t>How to fill this in — column by column</w:t>
      </w:r>
    </w:p>
    <w:p>
      <w:pPr>
        <w:pStyle w:val="ListParagraph"/>
      </w:pPr>
      <w:r>
        <w:rPr>
          <w:b/>
        </w:rPr>
        <w:t xml:space="preserve">Appellate Authority Designated: </w:t>
      </w:r>
      <w:r>
        <w:t>The actual authority designated to hear appeals — must be higher than whoever issued the original decision.</w:t>
      </w:r>
    </w:p>
    <w:p>
      <w:pPr>
        <w:pStyle w:val="ListParagraph"/>
      </w:pPr>
      <w:r>
        <w:rPr>
          <w:b/>
        </w:rPr>
        <w:t xml:space="preserve">Original Case: </w:t>
      </w:r>
      <w:r>
        <w:t>The real disciplinary case being appealed, in short.</w:t>
      </w:r>
    </w:p>
    <w:p>
      <w:pPr>
        <w:pStyle w:val="ListParagraph"/>
      </w:pPr>
      <w:r>
        <w:rPr>
          <w:b/>
        </w:rPr>
        <w:t xml:space="preserve">Appeal Raised (Y/N): </w:t>
      </w:r>
      <w:r>
        <w:t>Whether an appeal was actually raised in this instance.</w:t>
      </w:r>
    </w:p>
    <w:p>
      <w:pPr>
        <w:pStyle w:val="ListParagraph"/>
      </w:pPr>
      <w:r>
        <w:rPr>
          <w:b/>
        </w:rPr>
        <w:t xml:space="preserve">Appeal Outcome: </w:t>
      </w:r>
      <w:r>
        <w:t>The real outcome of the appeal.</w:t>
      </w:r>
    </w:p>
    <w:p>
      <w:pPr>
        <w:pStyle w:val="ListParagraph"/>
      </w:pPr>
      <w:r>
        <w:rPr>
          <w:b/>
        </w:rPr>
        <w:t xml:space="preserve">Date: </w:t>
      </w:r>
      <w:r>
        <w:t>The date the appeal was actually decided.</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Appellate Authority Designated</w:t>
            </w:r>
          </w:p>
        </w:tc>
        <w:tc>
          <w:tcPr>
            <w:tcW w:type="dxa" w:w="1936"/>
            <w:shd w:val="clear" w:fill="D9E2F3"/>
          </w:tcPr>
          <w:p>
            <w:r/>
            <w:r>
              <w:rPr>
                <w:b/>
                <w:sz w:val="20"/>
              </w:rPr>
              <w:t>Original Case</w:t>
            </w:r>
          </w:p>
        </w:tc>
        <w:tc>
          <w:tcPr>
            <w:tcW w:type="dxa" w:w="1936"/>
            <w:shd w:val="clear" w:fill="D9E2F3"/>
          </w:tcPr>
          <w:p>
            <w:r/>
            <w:r>
              <w:rPr>
                <w:b/>
                <w:sz w:val="20"/>
              </w:rPr>
              <w:t>Appeal Raised (Y/N)</w:t>
            </w:r>
          </w:p>
        </w:tc>
        <w:tc>
          <w:tcPr>
            <w:tcW w:type="dxa" w:w="1936"/>
            <w:shd w:val="clear" w:fill="D9E2F3"/>
          </w:tcPr>
          <w:p>
            <w:r/>
            <w:r>
              <w:rPr>
                <w:b/>
                <w:sz w:val="20"/>
              </w:rPr>
              <w:t>Appeal Outcome</w:t>
            </w:r>
          </w:p>
        </w:tc>
        <w:tc>
          <w:tcPr>
            <w:tcW w:type="dxa" w:w="1936"/>
            <w:shd w:val="clear" w:fill="D9E2F3"/>
          </w:tcPr>
          <w:p>
            <w:r/>
            <w:r>
              <w:rPr>
                <w:b/>
                <w:sz w:val="20"/>
              </w:rPr>
              <w:t>Date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Medical Superintendent (higher than the Department Head who issued the original decision)</w:t>
            </w:r>
          </w:p>
        </w:tc>
        <w:tc>
          <w:tcPr>
            <w:tcW w:type="dxa" w:w="1936"/>
            <w:shd w:val="clear" w:fill="FFF2CC"/>
          </w:tcPr>
          <w:p>
            <w:r/>
            <w:r>
              <w:rPr>
                <w:b w:val="0"/>
                <w:sz w:val="20"/>
              </w:rPr>
              <w:t>V. Kumar (Ward Assistant) — written warning for repeated late attendance</w:t>
            </w:r>
          </w:p>
        </w:tc>
        <w:tc>
          <w:tcPr>
            <w:tcW w:type="dxa" w:w="1936"/>
            <w:shd w:val="clear" w:fill="FFF2CC"/>
          </w:tcPr>
          <w:p>
            <w:r/>
            <w:r>
              <w:rPr>
                <w:b w:val="0"/>
                <w:sz w:val="20"/>
              </w:rPr>
              <w:t>Y</w:t>
            </w:r>
          </w:p>
        </w:tc>
        <w:tc>
          <w:tcPr>
            <w:tcW w:type="dxa" w:w="1936"/>
            <w:shd w:val="clear" w:fill="FFF2CC"/>
          </w:tcPr>
          <w:p>
            <w:r/>
            <w:r>
              <w:rPr>
                <w:b w:val="0"/>
                <w:sz w:val="20"/>
              </w:rPr>
              <w:t>Process upheld as followed correctly; warning stands</w:t>
            </w:r>
          </w:p>
        </w:tc>
        <w:tc>
          <w:tcPr>
            <w:tcW w:type="dxa" w:w="1936"/>
            <w:shd w:val="clear" w:fill="FFF2CC"/>
          </w:tcPr>
          <w:p>
            <w:r/>
            <w:r>
              <w:rPr>
                <w:b w:val="0"/>
                <w:sz w:val="20"/>
              </w:rPr>
              <w:t>22-Jan-2026</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