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HRM.9.c — Treatment provided for workplace-related injuries.</w:t>
      </w:r>
    </w:p>
    <w:p>
      <w:r>
        <w:rPr>
          <w:b/>
          <w:sz w:val="30"/>
        </w:rPr>
        <w:t>HRM.9 Record 5 — Treatment provided for workplace-related injuries.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“Workplace-injury treatment record — needle-stick, patient-transport injury, noise-related, etc. — including counselling record where appropriate, and workplace-violence-injury inclusion record.” — the specific evidence element Treatment provided for workplace-related injuries. of this policy asks for. Every time this happens for real, whoever is responsible adds one new row below with: Date, Staff Name, Injury, Treatment Given, Counselling Offered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Occupational Health Nurse fills this in whenever a staff member sustains a workplace-related injury. The worked example below shows a real entry: on 11-Jan-2026, staff name was 'T. Das (Staff Nurse)', injury was 'Needle-stick injury during venipuncture'.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untreated needle-stick or patient-transport injury is how a manageable exposure turns into a serious outcome.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the injury.</w:t>
      </w:r>
    </w:p>
    <w:p>
      <w:pPr>
        <w:pStyle w:val="ListParagraph"/>
      </w:pPr>
      <w:r>
        <w:rPr>
          <w:b/>
        </w:rPr>
        <w:t xml:space="preserve">Staff Name: </w:t>
      </w:r>
      <w:r>
        <w:t>The real staff member injured.</w:t>
      </w:r>
    </w:p>
    <w:p>
      <w:pPr>
        <w:pStyle w:val="ListParagraph"/>
      </w:pPr>
      <w:r>
        <w:rPr>
          <w:b/>
        </w:rPr>
        <w:t xml:space="preserve">Injury: </w:t>
      </w:r>
      <w:r>
        <w:t>The specific injury — name it precisely.</w:t>
      </w:r>
    </w:p>
    <w:p>
      <w:pPr>
        <w:pStyle w:val="ListParagraph"/>
      </w:pPr>
      <w:r>
        <w:rPr>
          <w:b/>
        </w:rPr>
        <w:t xml:space="preserve">Treatment Given: </w:t>
      </w:r>
      <w:r>
        <w:t>What treatment was actually given.</w:t>
      </w:r>
    </w:p>
    <w:p>
      <w:pPr>
        <w:pStyle w:val="ListParagraph"/>
      </w:pPr>
      <w:r>
        <w:rPr>
          <w:b/>
        </w:rPr>
        <w:t xml:space="preserve">Counselling Offered (Y/N): </w:t>
      </w:r>
      <w:r>
        <w:t>Whether counselling was actually offered, especially for a distressing incident.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Injury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Treatment Given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Counselling Offered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T. Das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Needle-stick injury during venipuncture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Post-exposure prophylaxis initiated per protocol; wound care given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