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IMS.1.b — Information needs captured/disseminated.</w:t>
      </w:r>
    </w:p>
    <w:p>
      <w:r>
        <w:rPr>
          <w:b/>
          <w:sz w:val="30"/>
        </w:rPr>
        <w:t>IMS.1 Record 3 — Information needs captured/disseminated.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guidance for capture and/or dissemination of information needs, naming frequency and responsible person(s).” — the specific evidence element Information needs captured/disseminated. of this policy asks for. Every time this happens for real, whoever is responsible adds one new row below with: Version, Date Approved, Approved By, Covers,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relevant channel (website admin, front-desk in-charge, HR, or the department contacting an external agency) captures or disseminates the identified need and logs it the same day it goes live. The worked example below shows a real entry: on 10-Jan-2026 v1.0, Medical Superintendent / IT In-Charge, Capture and dissemination frequency and responsibility for all identified information needs.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Identifying a need and then never actually delivering the information closes the loop on paper only. This record shows the need was captured through a defined, written method and actually reached the people who needed it — not left as a good intention.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Covers: </w:t>
      </w:r>
      <w:r>
        <w:t>What this specific version actually covers.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document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Covers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 / IT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Capture and dissemination frequency and responsibility for all identified information needs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