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IMS.1.c — IT/technology acquisitions.</w:t>
      </w:r>
    </w:p>
    <w:p>
      <w:r>
        <w:rPr>
          <w:b/>
          <w:sz w:val="30"/>
        </w:rPr>
        <w:t>IMS.1 Record 6 — IT/technology acquisitions.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“Software licence records for all software in use.” — the specific evidence element IT/technology acquisitions. of this policy asks for. Every time this happens for real, whoever is responsible adds one new row below with: Software, Licence Type, Licence Expiry, Number of Seats, Verified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logs each software or hardware acquisition, and separately tracks its licence, at the point of purchase or renewal. The worked example below shows a real entry: Hospital Information System (HIS), Enterprise, annual subscription, 31-Mar-2027.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Buying software or hardware that doesn't match what the hospital actually needs — now or as it grows — wastes money and leaves real information gaps unfilled. This record proves acquisitions were matched to a defined need, and that the software in use is properly licensed, not a compliance risk waiting to surface.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Software: </w:t>
      </w:r>
      <w:r>
        <w:t>The specific software product — name it precisely.</w:t>
      </w:r>
    </w:p>
    <w:p>
      <w:pPr>
        <w:pStyle w:val="ListParagraph"/>
      </w:pPr>
      <w:r>
        <w:rPr>
          <w:b/>
        </w:rPr>
        <w:t xml:space="preserve">Licence Type: </w:t>
      </w:r>
      <w:r>
        <w:t>The real licence type held.</w:t>
      </w:r>
    </w:p>
    <w:p>
      <w:pPr>
        <w:pStyle w:val="ListParagraph"/>
      </w:pPr>
      <w:r>
        <w:rPr>
          <w:b/>
        </w:rPr>
        <w:t xml:space="preserve">Licence Expiry: </w:t>
      </w:r>
      <w:r>
        <w:t>The actual expiry date of this licence — a lapsed licence is a compliance gap, not a detail.</w:t>
      </w:r>
    </w:p>
    <w:p>
      <w:pPr>
        <w:pStyle w:val="ListParagraph"/>
      </w:pPr>
      <w:r>
        <w:rPr>
          <w:b/>
        </w:rPr>
        <w:t xml:space="preserve">Number of Seats: </w:t>
      </w:r>
      <w:r>
        <w:t>The real number of licensed seats/users.</w:t>
      </w:r>
    </w:p>
    <w:p>
      <w:pPr>
        <w:pStyle w:val="ListParagraph"/>
      </w:pPr>
      <w:r>
        <w:rPr>
          <w:b/>
        </w:rPr>
        <w:t xml:space="preserve">Verified By: </w:t>
      </w:r>
      <w:r>
        <w:t>Who actually verified this licence is current, and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Software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Licence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Licence Expiry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Number of Seats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Hospital Information System (HIS)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Enterprise, annual subscription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31-Mar-2027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IT In-Charge, 08-Jan-2026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