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IMS.3.a — Unique identifier.</w:t>
      </w:r>
    </w:p>
    <w:p>
      <w:r>
        <w:rPr>
          <w:b/>
          <w:sz w:val="30"/>
        </w:rPr>
        <w:t>IMS.3 Record 2 — Unique identifier.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“Traceability record confirming all entries for one identifier are locatable/linked.” — the specific evidence element Unique identifier. of this policy asks for. Every time this happens for real, whoever is responsible adds one new row below with: Record No. Sampled, Unique Identifier Checked, Entries Sampled, Discrepancy Found (Y/N), Auditor.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assigns the unique identifier at registration and confirms traceability of every subsequent entry to that number. The worked example below shows a real entry: MR-004521, UHID 20260114-0231, 12 physical sheets + 4 electronic entries checked against the identifier.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Two patients' records mixed up because of a missing or duplicated identifier is one of the most basic and dangerous errors a hospital can make. This record proves every medical record — including on digital media — carries one unique number, and that every entry for that patient is actually traceable back to it.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 Sampled: </w:t>
      </w:r>
      <w:r>
        <w:t>The specific record actually sampled for this audit — not the identifier-assignment record itself, an independent check.</w:t>
      </w:r>
    </w:p>
    <w:p>
      <w:pPr>
        <w:pStyle w:val="ListParagraph"/>
      </w:pPr>
      <w:r>
        <w:rPr>
          <w:b/>
        </w:rPr>
        <w:t xml:space="preserve">Unique Identifier Checked: </w:t>
      </w:r>
      <w:r>
        <w:t>The unique identifier this record's entries were checked against.</w:t>
      </w:r>
    </w:p>
    <w:p>
      <w:pPr>
        <w:pStyle w:val="ListParagraph"/>
      </w:pPr>
      <w:r>
        <w:rPr>
          <w:b/>
        </w:rPr>
        <w:t xml:space="preserve">Entries Sampled: </w:t>
      </w:r>
      <w:r>
        <w:t>How many entries were actually sampled, and of what kind — physical, electronic, or both.</w:t>
      </w:r>
    </w:p>
    <w:p>
      <w:pPr>
        <w:pStyle w:val="ListParagraph"/>
      </w:pPr>
      <w:r>
        <w:rPr>
          <w:b/>
        </w:rPr>
        <w:t xml:space="preserve">Discrepancy Found (Y/N): </w:t>
      </w:r>
      <w:r>
        <w:t>Whether any entry was actually found NOT traceable to the identifier — Y or N, this is the point of the audit.</w:t>
      </w:r>
    </w:p>
    <w:p>
      <w:pPr>
        <w:pStyle w:val="ListParagraph"/>
      </w:pPr>
      <w:r>
        <w:rPr>
          <w:b/>
        </w:rPr>
        <w:t xml:space="preserve">Auditor: </w:t>
      </w:r>
      <w:r>
        <w:t>Who actually did this audit.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 No. Sampled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Unique Identifier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Entries Sampled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Discrepancy Found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Auditor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20260114-0231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 physical sheets + 4 electronic entries checked against the identifier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Records Officer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