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IMS.3.d — Authorised entries.</w:t>
      </w:r>
    </w:p>
    <w:p>
      <w:r>
        <w:rPr>
          <w:b/>
          <w:sz w:val="30"/>
        </w:rPr>
        <w:t>IMS.3 Record 7 — Authorised entries.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“Written authorisation record naming which staff category may enter which content.” — the specific evidence element Authorised entries. of this policy asks for. Every time this happens for real, whoever is responsible adds one new row below with: Entry Type, Authorised Staff Category, Written Guidance Reference, Date Effective.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Medical Records Committee approves the written authorisation naming which staff category may enter what, and the Medical Records Officer audits sampled entries against it. The worked example below shows a real entry: on 01-Jan-2026 Medication orders, Doctors (registered medical practitioners), HRM/IMS Authorisation Matrix, Section 3.</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If anyone can write anything into a medical record regardless of their role, accountability for clinical decisions disappears. This record proves the hospital has defined, in writing, exactly which staff category may make which kind of entry, and that real entries were actually checked against that rule. NABH checks this as part of how a genuinely reliable, safe medical record system is actually run, not just what's written about it.</w:t>
            </w:r>
          </w:p>
        </w:tc>
      </w:tr>
    </w:tbl>
    <w:p/>
    <w:p>
      <w:r>
        <w:rPr>
          <w:b/>
          <w:sz w:val="22"/>
        </w:rPr>
        <w:t>How to fill this in — column by column</w:t>
      </w:r>
    </w:p>
    <w:p>
      <w:pPr>
        <w:pStyle w:val="ListParagraph"/>
      </w:pPr>
      <w:r>
        <w:rPr>
          <w:b/>
        </w:rPr>
        <w:t xml:space="preserve">Entry Type: </w:t>
      </w:r>
      <w:r>
        <w:t>The specific type of entry — name it.</w:t>
      </w:r>
    </w:p>
    <w:p>
      <w:pPr>
        <w:pStyle w:val="ListParagraph"/>
      </w:pPr>
      <w:r>
        <w:rPr>
          <w:b/>
        </w:rPr>
        <w:t xml:space="preserve">Authorised Staff Category: </w:t>
      </w:r>
      <w:r>
        <w:t>The real staff category authorised to make this entry.</w:t>
      </w:r>
    </w:p>
    <w:p>
      <w:pPr>
        <w:pStyle w:val="ListParagraph"/>
      </w:pPr>
      <w:r>
        <w:rPr>
          <w:b/>
        </w:rPr>
        <w:t xml:space="preserve">Written Guidance Reference: </w:t>
      </w:r>
      <w:r>
        <w:t>The written guidance document this authorisation is defined in.</w:t>
      </w:r>
    </w:p>
    <w:p>
      <w:pPr>
        <w:pStyle w:val="ListParagraph"/>
      </w:pPr>
      <w:r>
        <w:rPr>
          <w:b/>
        </w:rPr>
        <w:t xml:space="preserve">Date Effective: </w:t>
      </w:r>
      <w:r>
        <w:t>The date this authorisation became effective.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Entry Type</w:t>
            </w:r>
          </w:p>
        </w:tc>
        <w:tc>
          <w:tcPr>
            <w:tcW w:type="dxa" w:w="2420"/>
            <w:shd w:val="clear" w:fill="D9E2F3"/>
          </w:tcPr>
          <w:p>
            <w:r/>
            <w:r>
              <w:rPr>
                <w:b/>
                <w:sz w:val="20"/>
              </w:rPr>
              <w:t>Authorised Staff Category</w:t>
            </w:r>
          </w:p>
        </w:tc>
        <w:tc>
          <w:tcPr>
            <w:tcW w:type="dxa" w:w="2420"/>
            <w:shd w:val="clear" w:fill="D9E2F3"/>
          </w:tcPr>
          <w:p>
            <w:r/>
            <w:r>
              <w:rPr>
                <w:b/>
                <w:sz w:val="20"/>
              </w:rPr>
              <w:t>Written Guidance Reference</w:t>
            </w:r>
          </w:p>
        </w:tc>
        <w:tc>
          <w:tcPr>
            <w:tcW w:type="dxa" w:w="2420"/>
            <w:shd w:val="clear" w:fill="D9E2F3"/>
          </w:tcPr>
          <w:p>
            <w:r/>
            <w:r>
              <w:rPr>
                <w:b/>
                <w:sz w:val="20"/>
              </w:rPr>
              <w:t>Date Effective</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Medication orders</w:t>
            </w:r>
          </w:p>
        </w:tc>
        <w:tc>
          <w:tcPr>
            <w:tcW w:type="dxa" w:w="2420"/>
            <w:shd w:val="clear" w:fill="FFF2CC"/>
          </w:tcPr>
          <w:p>
            <w:r/>
            <w:r>
              <w:rPr>
                <w:b w:val="0"/>
                <w:sz w:val="20"/>
              </w:rPr>
              <w:t>Doctors (registered medical practitioners)</w:t>
            </w:r>
          </w:p>
        </w:tc>
        <w:tc>
          <w:tcPr>
            <w:tcW w:type="dxa" w:w="2420"/>
            <w:shd w:val="clear" w:fill="FFF2CC"/>
          </w:tcPr>
          <w:p>
            <w:r/>
            <w:r>
              <w:rPr>
                <w:b w:val="0"/>
                <w:sz w:val="20"/>
              </w:rPr>
              <w:t>HRM/IMS Authorisation Matrix, Section 3</w:t>
            </w:r>
          </w:p>
        </w:tc>
        <w:tc>
          <w:tcPr>
            <w:tcW w:type="dxa" w:w="2420"/>
            <w:shd w:val="clear" w:fill="FFF2CC"/>
          </w:tcPr>
          <w:p>
            <w:r/>
            <w:r>
              <w:rPr>
                <w:b w:val="0"/>
                <w:sz w:val="20"/>
              </w:rPr>
              <w:t>01-Jan-2026</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