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IMS.5.f — Access requests.</w:t>
      </w:r>
    </w:p>
    <w:p>
      <w:r>
        <w:rPr>
          <w:b/>
          <w:sz w:val="30"/>
        </w:rPr>
        <w:t>IMS.5 Record 11 — Access requests.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guidance for addressing patient/physician/public-agency access requests.” — the specific evidence element Access requests. of this policy asks for. Every time this happens for real, whoever is responsible adds one new row below with: Date, Requestor, Records Requested, Decision, Reason (if denied).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logs every access request and its decision, and a licensed healthcare professional documents the reason for any denial. The worked example below shows a real entry: on 12-Jan-2026 Patient, Own discharge summary and lab reports — result: Granted.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or physician asking to see a medical record deserves a consistent answer, not one that depends on who's on duty that day — and a denial with no documented clinical reason is indefensible. This record proves requests were actually handled per written guidance, and that any denial carried a real, documented reason from a licensed healthcare professional.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of the request.</w:t>
      </w:r>
    </w:p>
    <w:p>
      <w:pPr>
        <w:pStyle w:val="ListParagraph"/>
      </w:pPr>
      <w:r>
        <w:rPr>
          <w:b/>
        </w:rPr>
        <w:t xml:space="preserve">Requestor: </w:t>
      </w:r>
      <w:r>
        <w:t>Who actually made the request — patient, physician, or public agency.</w:t>
      </w:r>
    </w:p>
    <w:p>
      <w:pPr>
        <w:pStyle w:val="ListParagraph"/>
      </w:pPr>
      <w:r>
        <w:rPr>
          <w:b/>
        </w:rPr>
        <w:t xml:space="preserve">Records Requested: </w:t>
      </w:r>
      <w:r>
        <w:t>The specific records requested.</w:t>
      </w:r>
    </w:p>
    <w:p>
      <w:pPr>
        <w:pStyle w:val="ListParagraph"/>
      </w:pPr>
      <w:r>
        <w:rPr>
          <w:b/>
        </w:rPr>
        <w:t xml:space="preserve">Decision: </w:t>
      </w:r>
      <w:r>
        <w:t>The actual decision made.</w:t>
      </w:r>
    </w:p>
    <w:p>
      <w:pPr>
        <w:pStyle w:val="ListParagraph"/>
      </w:pPr>
      <w:r>
        <w:rPr>
          <w:b/>
        </w:rPr>
        <w:t xml:space="preserve">Reason (if denied): </w:t>
      </w:r>
      <w:r>
        <w:t>If denied, the specific documented reason — required for every denial.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Requestor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Records Requested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 (if denied)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Own discharge summary and lab reports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Granted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