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IPC.4.d — Biomedical waste</w:t>
      </w:r>
    </w:p>
    <w:p>
      <w:r>
        <w:rPr>
          <w:b/>
          <w:sz w:val="30"/>
        </w:rPr>
        <w:t>IPC.4 Record 13 — Biomedical waste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“Authorised vendor agreement and handover logs.” — the specific evidence element IPC.4.d (CORE, Statute P2) of this policy asks for. Every time this activity actually happens, whoever did it adds one new row below with: Date, Authorised Vendor, Waste Category / Quantity Handed Over, Manifest / Handover Reference, Received By.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handles or audits BMW logs a new entry the moment a real batch is actually segregated, stored, handed over or monitored. The worked example below shows a real entry: on 10-Jan-2026, authorised vendor was “GreenCycle BMW Services (CPCB-authorised)”, waste category / quantity handed over was “Yellow bag — 42 kg”, manifest / handover reference was “Manifest No. GC-2026-0110”.</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Mishandled biomedical waste is both a direct legal violation under India's Bio-Medical Waste Management Rules and a real route for spreading infection to waste handlers, patients and the community outside the hospital. This record is the statutory proof of safe, compliant handling, from segregation at the point of generation through final authorised disposal. This is a CORE requirement — NABH treats it as non-negotiable, not aspirational.</w:t>
            </w:r>
          </w:p>
        </w:tc>
      </w:tr>
    </w:tbl>
    <w:p/>
    <w:p>
      <w:r>
        <w:rPr>
          <w:b/>
          <w:sz w:val="22"/>
        </w:rPr>
        <w:t>How to fill this in — column by column</w:t>
      </w:r>
    </w:p>
    <w:p>
      <w:pPr>
        <w:pStyle w:val="ListParagraph"/>
      </w:pPr>
      <w:r>
        <w:rPr>
          <w:b/>
        </w:rPr>
        <w:t xml:space="preserve">Date: </w:t>
      </w:r>
      <w:r>
        <w:t>Date of the actual handover.</w:t>
      </w:r>
    </w:p>
    <w:p>
      <w:pPr>
        <w:pStyle w:val="ListParagraph"/>
      </w:pPr>
      <w:r>
        <w:rPr>
          <w:b/>
        </w:rPr>
        <w:t xml:space="preserve">Authorised Vendor: </w:t>
      </w:r>
      <w:r>
        <w:t>Name the authorised vendor — confirm their authorisation is current, don't assume it.</w:t>
      </w:r>
    </w:p>
    <w:p>
      <w:pPr>
        <w:pStyle w:val="ListParagraph"/>
      </w:pPr>
      <w:r>
        <w:rPr>
          <w:b/>
        </w:rPr>
        <w:t xml:space="preserve">Waste Category / Quantity Handed Over: </w:t>
      </w:r>
      <w:r>
        <w:t>What was actually handed over and how much.</w:t>
      </w:r>
    </w:p>
    <w:p>
      <w:pPr>
        <w:pStyle w:val="ListParagraph"/>
      </w:pPr>
      <w:r>
        <w:rPr>
          <w:b/>
        </w:rPr>
        <w:t xml:space="preserve">Manifest / Handover Reference: </w:t>
      </w:r>
      <w:r>
        <w:t>The manifest or handover slip reference number.</w:t>
      </w:r>
    </w:p>
    <w:p>
      <w:pPr>
        <w:pStyle w:val="ListParagraph"/>
      </w:pPr>
      <w:r>
        <w:rPr>
          <w:b/>
        </w:rPr>
        <w:t xml:space="preserve">Received By: </w:t>
      </w:r>
      <w:r>
        <w:t>Who received it on the vendor's side, confirmed against the manifest.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w:t>
            </w:r>
          </w:p>
        </w:tc>
        <w:tc>
          <w:tcPr>
            <w:tcW w:type="dxa" w:w="1936"/>
            <w:shd w:val="clear" w:fill="D9E2F3"/>
          </w:tcPr>
          <w:p>
            <w:r/>
            <w:r>
              <w:rPr>
                <w:b/>
                <w:sz w:val="20"/>
              </w:rPr>
              <w:t>Authorised Vendor</w:t>
            </w:r>
          </w:p>
        </w:tc>
        <w:tc>
          <w:tcPr>
            <w:tcW w:type="dxa" w:w="1936"/>
            <w:shd w:val="clear" w:fill="D9E2F3"/>
          </w:tcPr>
          <w:p>
            <w:r/>
            <w:r>
              <w:rPr>
                <w:b/>
                <w:sz w:val="20"/>
              </w:rPr>
              <w:t>Waste Category / Quantity Handed Over</w:t>
            </w:r>
          </w:p>
        </w:tc>
        <w:tc>
          <w:tcPr>
            <w:tcW w:type="dxa" w:w="1936"/>
            <w:shd w:val="clear" w:fill="D9E2F3"/>
          </w:tcPr>
          <w:p>
            <w:r/>
            <w:r>
              <w:rPr>
                <w:b/>
                <w:sz w:val="20"/>
              </w:rPr>
              <w:t>Manifest / Handover Reference</w:t>
            </w:r>
          </w:p>
        </w:tc>
        <w:tc>
          <w:tcPr>
            <w:tcW w:type="dxa" w:w="1936"/>
            <w:shd w:val="clear" w:fill="D9E2F3"/>
          </w:tcPr>
          <w:p>
            <w:r/>
            <w:r>
              <w:rPr>
                <w:b/>
                <w:sz w:val="20"/>
              </w:rPr>
              <w:t>Received By</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10-Jan-2026</w:t>
            </w:r>
          </w:p>
        </w:tc>
        <w:tc>
          <w:tcPr>
            <w:tcW w:type="dxa" w:w="1936"/>
            <w:shd w:val="clear" w:fill="FFF2CC"/>
          </w:tcPr>
          <w:p>
            <w:r/>
            <w:r>
              <w:rPr>
                <w:b w:val="0"/>
                <w:sz w:val="20"/>
              </w:rPr>
              <w:t>GreenCycle BMW Services (CPCB-authorised)</w:t>
            </w:r>
          </w:p>
        </w:tc>
        <w:tc>
          <w:tcPr>
            <w:tcW w:type="dxa" w:w="1936"/>
            <w:shd w:val="clear" w:fill="FFF2CC"/>
          </w:tcPr>
          <w:p>
            <w:r/>
            <w:r>
              <w:rPr>
                <w:b w:val="0"/>
                <w:sz w:val="20"/>
              </w:rPr>
              <w:t>Yellow bag — 42 kg</w:t>
            </w:r>
          </w:p>
        </w:tc>
        <w:tc>
          <w:tcPr>
            <w:tcW w:type="dxa" w:w="1936"/>
            <w:shd w:val="clear" w:fill="FFF2CC"/>
          </w:tcPr>
          <w:p>
            <w:r/>
            <w:r>
              <w:rPr>
                <w:b w:val="0"/>
                <w:sz w:val="20"/>
              </w:rPr>
              <w:t>Manifest No. GC-2026-0110</w:t>
            </w:r>
          </w:p>
        </w:tc>
        <w:tc>
          <w:tcPr>
            <w:tcW w:type="dxa" w:w="1936"/>
            <w:shd w:val="clear" w:fill="FFF2CC"/>
          </w:tcPr>
          <w:p>
            <w:r/>
            <w:r>
              <w:rPr>
                <w:b w:val="0"/>
                <w:sz w:val="20"/>
              </w:rPr>
              <w:t>Vendor's collection staff, verified against manifest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