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IPC.4.d — Biomedical waste</w:t>
      </w:r>
    </w:p>
    <w:p>
      <w:r>
        <w:rPr>
          <w:b/>
          <w:sz w:val="30"/>
        </w:rPr>
        <w:t>IPC.4 Record 15 — Biomedical waste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BMW means Bio-Medical Waste — any waste generated during patient care that could carry infection (used syringes, dressings, blood-soiled items, etc.), which the law requires to be segregated and disposed of in a specific way. This record is where you keep the proof for: “Stop-work event log for BMW-trigger events.” — the specific evidence element IPC.4.d (CORE, Statute P2) of this policy asks for. Every time this activity actually happens, whoever did it adds one new row below with: Date, Trigger Event, Action Taken (stop-work invoked), Outcome.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or audits BMW logs a new entry the moment a real batch is actually segregated, stored, handed over or monitored. The worked example below shows a real entry: on 12-Jan-2026, trigger event was “Segregated BMW bag found mixed with general waste”, outcome was “Root cause fixed and confirmed before work resumed; logged for the next IPC Committee meeting” — so action taken (stop-work invoked) was “Issue/use stopped immediately and escalated to the IPC Officer”.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Mishandled biomedical waste is both a direct legal violation under India's Bio-Medical Waste Management Rules and a real route for spreading infection to waste handlers, patients and the community outside the hospital. This record is the statutory proof of safe, compliant handling, from segregation at the point of generation through final authorised disposal. This is a CORE requirement — NABH treats it as non-negotiable, not aspirational.</w:t>
            </w:r>
          </w:p>
        </w:tc>
      </w:tr>
    </w:tbl>
    <w:p/>
    <w:p>
      <w:r>
        <w:rPr>
          <w:b/>
          <w:sz w:val="22"/>
        </w:rPr>
        <w:t>How to fill this in — column by column</w:t>
      </w:r>
    </w:p>
    <w:p>
      <w:pPr>
        <w:pStyle w:val="ListParagraph"/>
      </w:pPr>
      <w:r>
        <w:rPr>
          <w:b/>
        </w:rPr>
        <w:t xml:space="preserve">Date: </w:t>
      </w:r>
      <w:r>
        <w:t>Date the stop-work event actually happened.</w:t>
      </w:r>
    </w:p>
    <w:p>
      <w:pPr>
        <w:pStyle w:val="ListParagraph"/>
      </w:pPr>
      <w:r>
        <w:rPr>
          <w:b/>
        </w:rPr>
        <w:t xml:space="preserve">Trigger Event: </w:t>
      </w:r>
      <w:r>
        <w:t>The specific trigger that set it off — name the real event, not 'an issue.'</w:t>
      </w:r>
    </w:p>
    <w:p>
      <w:pPr>
        <w:pStyle w:val="ListParagraph"/>
      </w:pPr>
      <w:r>
        <w:rPr>
          <w:b/>
        </w:rPr>
        <w:t xml:space="preserve">Action Taken (stop-work invoked): </w:t>
      </w:r>
      <w:r>
        <w:t>What was actually stopped and who it was escalated to.</w:t>
      </w:r>
    </w:p>
    <w:p>
      <w:pPr>
        <w:pStyle w:val="ListParagraph"/>
      </w:pPr>
      <w:r>
        <w:rPr>
          <w:b/>
        </w:rPr>
        <w:t xml:space="preserve">Outcome: </w:t>
      </w:r>
      <w:r>
        <w:t>What happened next — the fix, and confirmation before things resumed.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Trigger Event</w:t>
            </w:r>
          </w:p>
        </w:tc>
        <w:tc>
          <w:tcPr>
            <w:tcW w:type="dxa" w:w="2420"/>
            <w:shd w:val="clear" w:fill="D9E2F3"/>
          </w:tcPr>
          <w:p>
            <w:r/>
            <w:r>
              <w:rPr>
                <w:b/>
                <w:sz w:val="20"/>
              </w:rPr>
              <w:t>Action Taken (stop-work invoked)</w:t>
            </w:r>
          </w:p>
        </w:tc>
        <w:tc>
          <w:tcPr>
            <w:tcW w:type="dxa" w:w="2420"/>
            <w:shd w:val="clear" w:fill="D9E2F3"/>
          </w:tcPr>
          <w:p>
            <w:r/>
            <w:r>
              <w:rPr>
                <w:b/>
                <w:sz w:val="20"/>
              </w:rPr>
              <w:t>Outcome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12-Jan-2026</w:t>
            </w:r>
          </w:p>
        </w:tc>
        <w:tc>
          <w:tcPr>
            <w:tcW w:type="dxa" w:w="2420"/>
            <w:shd w:val="clear" w:fill="FFF2CC"/>
          </w:tcPr>
          <w:p>
            <w:r/>
            <w:r>
              <w:rPr>
                <w:b w:val="0"/>
                <w:sz w:val="20"/>
              </w:rPr>
              <w:t>Segregated BMW bag found mixed with general waste</w:t>
            </w:r>
          </w:p>
        </w:tc>
        <w:tc>
          <w:tcPr>
            <w:tcW w:type="dxa" w:w="2420"/>
            <w:shd w:val="clear" w:fill="FFF2CC"/>
          </w:tcPr>
          <w:p>
            <w:r/>
            <w:r>
              <w:rPr>
                <w:b w:val="0"/>
                <w:sz w:val="20"/>
              </w:rPr>
              <w:t>Issue/use stopped immediately and escalated to the IPC Officer</w:t>
            </w:r>
          </w:p>
        </w:tc>
        <w:tc>
          <w:tcPr>
            <w:tcW w:type="dxa" w:w="2420"/>
            <w:shd w:val="clear" w:fill="FFF2CC"/>
          </w:tcPr>
          <w:p>
            <w:r/>
            <w:r>
              <w:rPr>
                <w:b w:val="0"/>
                <w:sz w:val="20"/>
              </w:rPr>
              <w:t>Root cause fixed and confirmed before work resumed; logged for the next IPC Committee meeting</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