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IPC.5.c — CLABSI prevention bundle</w:t>
      </w:r>
    </w:p>
    <w:p>
      <w:r>
        <w:rPr>
          <w:b/>
          <w:sz w:val="30"/>
        </w:rPr>
        <w:t>IPC.5 Record 9 — CLABSI prevention bundle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CLABSI stands for Central Line-Associated Bloodstream Infection — a bloodstream infection that develops because of a central line (a large IV catheter placed in a major vein).This record is where you keep the proof for: “CLABSI rate tracking records as part of the IPC surveillance programme.” — the specific evidence element IPC.5.c of this policy asks for. Every time this activity actually happens, whoever did it adds one new row below with: Date, Patient / UHID, Bundle Element Checked, Compliant (Y/N), Deviation Reason (if N),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bedside nurse logs a new row the moment a real central-line patient's bundle compliance is actually checked, at insertion or during maintenance. The worked example below shows a real entry: on 10-Jan-2026, patient / uhid was “UHID 20456”, bundle element checked was “Central-line dressing intact and daily line-necessity re-assessed”,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Central-line infections are largely preventable through a defined bundle covering both insertion (maximal barrier precautions, skin antisepsis) and ongoing maintenance (dressing checks, daily necessity review), but only if both halves are actually followed. This record proves the bundle is being followed in real practice, and that the CLABSI rate is tracked so the hospital knows if it's genuinely working.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Patient / UHID: </w:t>
      </w:r>
      <w:r>
        <w:t>The patient's UHID or name.</w:t>
      </w:r>
    </w:p>
    <w:p>
      <w:pPr>
        <w:pStyle w:val="ListParagraph"/>
      </w:pPr>
      <w:r>
        <w:rPr>
          <w:b/>
        </w:rPr>
        <w:t xml:space="preserve">Bundle Element Checked: </w:t>
      </w:r>
      <w:r>
        <w:t>Which specific element of the prevention bundle this row checks — name it exactly, don't write 'bundle compliance' generically.</w:t>
      </w:r>
    </w:p>
    <w:p>
      <w:pPr>
        <w:pStyle w:val="ListParagraph"/>
      </w:pPr>
      <w:r>
        <w:rPr>
          <w:b/>
        </w:rPr>
        <w:t xml:space="preserve">Compliant (Y/N): </w:t>
      </w:r>
      <w:r>
        <w:t>Y or N.</w:t>
      </w:r>
    </w:p>
    <w:p>
      <w:pPr>
        <w:pStyle w:val="ListParagraph"/>
      </w:pPr>
      <w:r>
        <w:rPr>
          <w:b/>
        </w:rPr>
        <w:t xml:space="preserve">Deviation Reason (if N): </w:t>
      </w:r>
      <w:r>
        <w:t>If N, why it wasn't followed.</w:t>
      </w:r>
    </w:p>
    <w:p>
      <w:pPr>
        <w:pStyle w:val="ListParagraph"/>
      </w:pPr>
      <w:r>
        <w:rPr>
          <w:b/>
        </w:rPr>
        <w:t xml:space="preserve">Action Taken: </w:t>
      </w:r>
      <w:r>
        <w:t>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Patient / UHID</w:t>
            </w:r>
          </w:p>
        </w:tc>
        <w:tc>
          <w:tcPr>
            <w:tcW w:type="dxa" w:w="1613"/>
            <w:shd w:val="clear" w:fill="D9E2F3"/>
          </w:tcPr>
          <w:p>
            <w:r/>
            <w:r>
              <w:rPr>
                <w:b/>
                <w:sz w:val="20"/>
              </w:rPr>
              <w:t>Bundle Element Checked</w:t>
            </w:r>
          </w:p>
        </w:tc>
        <w:tc>
          <w:tcPr>
            <w:tcW w:type="dxa" w:w="1613"/>
            <w:shd w:val="clear" w:fill="D9E2F3"/>
          </w:tcPr>
          <w:p>
            <w:r/>
            <w:r>
              <w:rPr>
                <w:b/>
                <w:sz w:val="20"/>
              </w:rPr>
              <w:t>Compliant (Y/N)</w:t>
            </w:r>
          </w:p>
        </w:tc>
        <w:tc>
          <w:tcPr>
            <w:tcW w:type="dxa" w:w="1613"/>
            <w:shd w:val="clear" w:fill="D9E2F3"/>
          </w:tcPr>
          <w:p>
            <w:r/>
            <w:r>
              <w:rPr>
                <w:b/>
                <w:sz w:val="20"/>
              </w:rPr>
              <w:t>Deviation Reason (if N)</w:t>
            </w:r>
          </w:p>
        </w:tc>
        <w:tc>
          <w:tcPr>
            <w:tcW w:type="dxa" w:w="1613"/>
            <w:shd w:val="clear" w:fill="D9E2F3"/>
          </w:tcPr>
          <w:p>
            <w:r/>
            <w:r>
              <w:rPr>
                <w:b/>
                <w:sz w:val="20"/>
              </w:rPr>
              <w:t>Action Taken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10-Jan-2026</w:t>
            </w:r>
          </w:p>
        </w:tc>
        <w:tc>
          <w:tcPr>
            <w:tcW w:type="dxa" w:w="1613"/>
            <w:shd w:val="clear" w:fill="FFF2CC"/>
          </w:tcPr>
          <w:p>
            <w:r/>
            <w:r>
              <w:rPr>
                <w:b w:val="0"/>
                <w:sz w:val="20"/>
              </w:rPr>
              <w:t>UHID 20456</w:t>
            </w:r>
          </w:p>
        </w:tc>
        <w:tc>
          <w:tcPr>
            <w:tcW w:type="dxa" w:w="1613"/>
            <w:shd w:val="clear" w:fill="FFF2CC"/>
          </w:tcPr>
          <w:p>
            <w:r/>
            <w:r>
              <w:rPr>
                <w:b w:val="0"/>
                <w:sz w:val="20"/>
              </w:rPr>
              <w:t>Central-line dressing intact and daily line-necessity re-assessed</w:t>
            </w:r>
          </w:p>
        </w:tc>
        <w:tc>
          <w:tcPr>
            <w:tcW w:type="dxa" w:w="1613"/>
            <w:shd w:val="clear" w:fill="FFF2CC"/>
          </w:tcPr>
          <w:p>
            <w:r/>
            <w:r>
              <w:rPr>
                <w:b w:val="0"/>
                <w:sz w:val="20"/>
              </w:rPr>
              <w:t>Y</w:t>
            </w:r>
          </w:p>
        </w:tc>
        <w:tc>
          <w:tcPr>
            <w:tcW w:type="dxa" w:w="1613"/>
            <w:shd w:val="clear" w:fill="FFF2CC"/>
          </w:tcPr>
          <w:p>
            <w:r/>
            <w:r>
              <w:rPr>
                <w:b w:val="0"/>
                <w:sz w:val="20"/>
              </w:rPr>
              <w:t>—</w:t>
            </w:r>
          </w:p>
        </w:tc>
        <w:tc>
          <w:tcPr>
            <w:tcW w:type="dxa" w:w="1613"/>
            <w:shd w:val="clear" w:fill="FFF2CC"/>
          </w:tcPr>
          <w:p>
            <w:r/>
            <w:r>
              <w:rPr>
                <w:b w:val="0"/>
                <w:sz w:val="20"/>
              </w:rPr>
              <w:t>—</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