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IPC.6.c — High-risk area surveillance</w:t>
      </w:r>
    </w:p>
    <w:p>
      <w:r>
        <w:rPr>
          <w:b/>
          <w:sz w:val="30"/>
        </w:rPr>
        <w:t>IPC.6 Record 5 — High-risk area surveillance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“Surveillance records for each identified high-risk area and activity, including construction/demolition areas.” — the specific evidence element IPC.6.c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logs a new entry for a real high-risk area each time surveillance is actually carried out there. The worked example below shows a real entry: on 10-Jan-2026, area / item checked was “Surveillance conducted in identified high-risk area — ICU”,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spread evenly across every low-risk and high-risk area alike wastes effort exactly where it matters least. This record proves the areas that actually carry the highest infection risk — including active construction or demolition zones — get surveillance at a frequency and method suited to that risk, not the hospital-wide default.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Surveillance conducted in identified high-risk area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