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IPC.6.f — Housekeeping effectiveness monitoring</w:t>
      </w:r>
    </w:p>
    <w:p>
      <w:r>
        <w:rPr>
          <w:b/>
          <w:sz w:val="30"/>
        </w:rPr>
        <w:t>IPC.6 Record 12 — Housekeeping effectiveness monitoring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“Regular monitoring records using those outcome parameters.” — the specific evidence element IPC.6.f (CORE)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monitors logs a new entry the moment a real outcome check is actually carried out against the defined parameters. The worked example below shows a real entry: on 10-Jan-2026, area / item checked was “Fogging used only under a permitted condition — OT-3, post-renovation, before recommissioning for surgical use”,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'The floor looks clean' is not a measurable outcome, and unrestricted fogging or routine microbiological surface swabbing are both practices the evidence specifically advises against. This record proves cleaning effectiveness is checked against defined, measurable outcome parameters, and that fogging — if used at all — stayed strictly within the specific conditions where it's actually justified. This is a CORE requirement — NABH treats it as non-negotiable, not aspirational.</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Fogging used only under a permitted condition — OT-3, post-renovation, before recommissioning for surgical use</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