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IPC.6.g — Feedback to healthcare providers</w:t>
      </w:r>
    </w:p>
    <w:p>
      <w:r>
        <w:rPr>
          <w:b/>
          <w:sz w:val="30"/>
        </w:rPr>
        <w:t>IPC.6 Record 16 — Feedback to healthcare providers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that feedback reached the appropriate healthcare provider — unit in-charges, treating doctors, or department heads.” — the specific evidence element IPC.6.g of this policy asks for. Every time this activity actually happens, whoever did it adds one new row below with: Date Issued, Recipient(s), Data Included, Distribution Method.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each time a real feedback bulletin or report is actually sent out. The worked example below shows a real entry: on 05-Feb-2026, recipient(s) was “All unit in-charges + treating doctors, General Ward and ICU”, data included was “Jan-2026 hand-hygiene compliance, CAUTI/VAP/CLABSI rates, trend vs. last quarter”, distribution method was “Emailed + posted on department noticeboard”.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Surveillance data that stays inside the IPC team's own files never changes anyone's clinical practice. This record proves the findings — rates, trends, and what needs to improve — actually reached the doctors and unit in-charges who can act on them, not just the people who collected them. NABH checks this as part of how a functioning IPC programme actually runs day to day.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Issued: </w:t>
      </w:r>
      <w:r>
        <w:t>Date this feedback was actually sent out — must be periodic, not one-off.</w:t>
      </w:r>
    </w:p>
    <w:p>
      <w:pPr>
        <w:pStyle w:val="ListParagraph"/>
      </w:pPr>
      <w:r>
        <w:rPr>
          <w:b/>
        </w:rPr>
        <w:t xml:space="preserve">Recipient(s): </w:t>
      </w:r>
      <w:r>
        <w:t>Who it actually reached — name the real audience, not 'staff.'</w:t>
      </w:r>
    </w:p>
    <w:p>
      <w:pPr>
        <w:pStyle w:val="ListParagraph"/>
      </w:pPr>
      <w:r>
        <w:rPr>
          <w:b/>
        </w:rPr>
        <w:t xml:space="preserve">Data Included: </w:t>
      </w:r>
      <w:r>
        <w:t>What data was actually in it.</w:t>
      </w:r>
    </w:p>
    <w:p>
      <w:pPr>
        <w:pStyle w:val="ListParagraph"/>
      </w:pPr>
      <w:r>
        <w:rPr>
          <w:b/>
        </w:rPr>
        <w:t xml:space="preserve">Distribution Method: </w:t>
      </w:r>
      <w:r>
        <w:t>How it was actually delivered, and proof it reached them (read receipt, signed noticeboard log, etc.).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Recipient(s)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Data Included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Distribution Method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05-Feb-2026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All unit in-charges + treating doctors, General Ward and ICU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Jan-2026 hand-hygiene compliance, CAUTI/VAP/CLABSI rates, trend vs. last quarter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Emailed + posted on department noticeboard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