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IPC.6.h — Outbreak identification and response</w:t>
      </w:r>
    </w:p>
    <w:p>
      <w:r>
        <w:rPr>
          <w:b/>
          <w:sz w:val="30"/>
        </w:rPr>
        <w:t>IPC.6 Record 17 — Outbreak identification and response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“Baseline infection rates established and documented.” — the specific evidence element IPC.6.h (Commitment*) of this policy asks for. Every time this activity actually happens, whoever did it adds one new row below with: Infection Type, Baseline Period, Baseline Rate, Date Established. A worked example row is already filled in (shaded) below the header, so you can see exactly what a completed real entry looks like — don't leave that example row mixed in with real data once you start using this record.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IPC team logs a new entry the moment a real suspected outbreak is actually identified against the baseline definition, or a drill is run. The worked example below shows a real entry: on Jan–Jun 2025 (6 months), infection type was “CAUTI”, baseline rate was “2.4 per 1000 catheter-days”, date established was “01-Jul-2025”.</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Without a written definition of what counts as an outbreak — tied to the hospital's own baseline infection rates — a real outbreak can go unrecognised until it's already much bigger than it needed to be. This record proves the hospital knows what an outbreak looks like for it specifically, and has actually tested or genuinely used its response plan. This is a Commitment-level requirement — NABH expects the hospital to be actively working toward and evidencing it, not just planning to.</w:t>
            </w:r>
          </w:p>
        </w:tc>
      </w:tr>
    </w:tbl>
    <w:p/>
    <w:p>
      <w:r>
        <w:rPr>
          <w:b/>
          <w:sz w:val="22"/>
        </w:rPr>
        <w:t>How to fill this in — column by column</w:t>
      </w:r>
    </w:p>
    <w:p>
      <w:pPr>
        <w:pStyle w:val="ListParagraph"/>
      </w:pPr>
      <w:r>
        <w:rPr>
          <w:b/>
        </w:rPr>
        <w:t xml:space="preserve">Infection Type: </w:t>
      </w:r>
      <w:r>
        <w:t>Which infection this baseline is for.</w:t>
      </w:r>
    </w:p>
    <w:p>
      <w:pPr>
        <w:pStyle w:val="ListParagraph"/>
      </w:pPr>
      <w:r>
        <w:rPr>
          <w:b/>
        </w:rPr>
        <w:t xml:space="preserve">Baseline Period: </w:t>
      </w:r>
      <w:r>
        <w:t>The actual period the baseline was calculated over.</w:t>
      </w:r>
    </w:p>
    <w:p>
      <w:pPr>
        <w:pStyle w:val="ListParagraph"/>
      </w:pPr>
      <w:r>
        <w:rPr>
          <w:b/>
        </w:rPr>
        <w:t xml:space="preserve">Baseline Rate: </w:t>
      </w:r>
      <w:r>
        <w:t>The real rate calculated from that period — this is what 'above baseline' gets measured against.</w:t>
      </w:r>
    </w:p>
    <w:p>
      <w:pPr>
        <w:pStyle w:val="ListParagraph"/>
      </w:pPr>
      <w:r>
        <w:rPr>
          <w:b/>
        </w:rPr>
        <w:t xml:space="preserve">Date Established: </w:t>
      </w:r>
      <w:r>
        <w:t>The date the baseline was actually signed off.</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Infection Type</w:t>
            </w:r>
          </w:p>
        </w:tc>
        <w:tc>
          <w:tcPr>
            <w:tcW w:type="dxa" w:w="2420"/>
            <w:shd w:val="clear" w:fill="D9E2F3"/>
          </w:tcPr>
          <w:p>
            <w:r/>
            <w:r>
              <w:rPr>
                <w:b/>
                <w:sz w:val="20"/>
              </w:rPr>
              <w:t>Baseline Period</w:t>
            </w:r>
          </w:p>
        </w:tc>
        <w:tc>
          <w:tcPr>
            <w:tcW w:type="dxa" w:w="2420"/>
            <w:shd w:val="clear" w:fill="D9E2F3"/>
          </w:tcPr>
          <w:p>
            <w:r/>
            <w:r>
              <w:rPr>
                <w:b/>
                <w:sz w:val="20"/>
              </w:rPr>
              <w:t>Baseline Rate</w:t>
            </w:r>
          </w:p>
        </w:tc>
        <w:tc>
          <w:tcPr>
            <w:tcW w:type="dxa" w:w="2420"/>
            <w:shd w:val="clear" w:fill="D9E2F3"/>
          </w:tcPr>
          <w:p>
            <w:r/>
            <w:r>
              <w:rPr>
                <w:b/>
                <w:sz w:val="20"/>
              </w:rPr>
              <w:t>Date Established</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CAUTI</w:t>
            </w:r>
          </w:p>
        </w:tc>
        <w:tc>
          <w:tcPr>
            <w:tcW w:type="dxa" w:w="2420"/>
            <w:shd w:val="clear" w:fill="FFF2CC"/>
          </w:tcPr>
          <w:p>
            <w:r/>
            <w:r>
              <w:rPr>
                <w:b w:val="0"/>
                <w:sz w:val="20"/>
              </w:rPr>
              <w:t>Jan–Jun 2025 (6 months)</w:t>
            </w:r>
          </w:p>
        </w:tc>
        <w:tc>
          <w:tcPr>
            <w:tcW w:type="dxa" w:w="2420"/>
            <w:shd w:val="clear" w:fill="FFF2CC"/>
          </w:tcPr>
          <w:p>
            <w:r/>
            <w:r>
              <w:rPr>
                <w:b w:val="0"/>
                <w:sz w:val="20"/>
              </w:rPr>
              <w:t>2.4 per 1000 catheter-days</w:t>
            </w:r>
          </w:p>
        </w:tc>
        <w:tc>
          <w:tcPr>
            <w:tcW w:type="dxa" w:w="2420"/>
            <w:shd w:val="clear" w:fill="FFF2CC"/>
          </w:tcPr>
          <w:p>
            <w:r/>
            <w:r>
              <w:rPr>
                <w:b w:val="0"/>
                <w:sz w:val="20"/>
              </w:rPr>
              <w:t>01-Jul-2025</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