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IPC.7.b — Cleaning-packing-sterilisation-storage-issue guidance</w:t>
      </w:r>
    </w:p>
    <w:p>
      <w:r>
        <w:rPr>
          <w:b/>
          <w:sz w:val="30"/>
        </w:rPr>
        <w:t>IPC.7 Record 8 — Cleaning-packing-sterilisation-storage-issue guidance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“Stop-work event log for any issue-from-failed-load events.” — the specific evidence element IPC.7.b (CORE*) of this policy asks for. Every time this activity actually happens, whoever did it adds one new row below with: Date, Trigger Event, Action Taken (stop-work invoked), Outcome.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CSSD technician logs a new entry for each real load as it's actually processed, packed and issued. The worked example below shows a real entry: on 12-Jan-2026, trigger event was “Sterilisation load failed its biological indicator (spore) test”, outcome was “Root cause fixed and confirmed before work resumed; logged for the next IPC Committee meeting” — so action taken (stop-work invoked) was “Issue/use stopped immediately and escalated to the IPC Officer”.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single missed step in cleaning, packing or sterilising an instrument can leave it looking sterile when it isn't — and there's no way to tell just by looking at it. This record is the evidence that every step of the cycle, including which decontamination method actually fits which item (the Spaulding classification), was followed and documented, not assumed. This is a CORE requirement — NABH treats it as non-negotiable, not aspirational.</w:t>
            </w:r>
          </w:p>
        </w:tc>
      </w:tr>
    </w:tbl>
    <w:p/>
    <w:p>
      <w:r>
        <w:rPr>
          <w:b/>
          <w:sz w:val="22"/>
        </w:rPr>
        <w:t>How to fill this in — column by column</w:t>
      </w:r>
    </w:p>
    <w:p>
      <w:pPr>
        <w:pStyle w:val="ListParagraph"/>
      </w:pPr>
      <w:r>
        <w:rPr>
          <w:b/>
        </w:rPr>
        <w:t xml:space="preserve">Date: </w:t>
      </w:r>
      <w:r>
        <w:t>Date the stop-work event actually happened.</w:t>
      </w:r>
    </w:p>
    <w:p>
      <w:pPr>
        <w:pStyle w:val="ListParagraph"/>
      </w:pPr>
      <w:r>
        <w:rPr>
          <w:b/>
        </w:rPr>
        <w:t xml:space="preserve">Trigger Event: </w:t>
      </w:r>
      <w:r>
        <w:t>The specific trigger that set it off — name the real event, not 'an issue.'</w:t>
      </w:r>
    </w:p>
    <w:p>
      <w:pPr>
        <w:pStyle w:val="ListParagraph"/>
      </w:pPr>
      <w:r>
        <w:rPr>
          <w:b/>
        </w:rPr>
        <w:t xml:space="preserve">Action Taken (stop-work invoked): </w:t>
      </w:r>
      <w:r>
        <w:t>What was actually stopped and who it was escalated to.</w:t>
      </w:r>
    </w:p>
    <w:p>
      <w:pPr>
        <w:pStyle w:val="ListParagraph"/>
      </w:pPr>
      <w:r>
        <w:rPr>
          <w:b/>
        </w:rPr>
        <w:t xml:space="preserve">Outcome: </w:t>
      </w:r>
      <w:r>
        <w:t>What happened next — the fix, and confirmation before things resumed.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Date</w:t>
            </w:r>
          </w:p>
        </w:tc>
        <w:tc>
          <w:tcPr>
            <w:tcW w:type="dxa" w:w="2420"/>
            <w:shd w:val="clear" w:fill="D9E2F3"/>
          </w:tcPr>
          <w:p>
            <w:r/>
            <w:r>
              <w:rPr>
                <w:b/>
                <w:sz w:val="20"/>
              </w:rPr>
              <w:t>Trigger Event</w:t>
            </w:r>
          </w:p>
        </w:tc>
        <w:tc>
          <w:tcPr>
            <w:tcW w:type="dxa" w:w="2420"/>
            <w:shd w:val="clear" w:fill="D9E2F3"/>
          </w:tcPr>
          <w:p>
            <w:r/>
            <w:r>
              <w:rPr>
                <w:b/>
                <w:sz w:val="20"/>
              </w:rPr>
              <w:t>Action Taken (stop-work invoked)</w:t>
            </w:r>
          </w:p>
        </w:tc>
        <w:tc>
          <w:tcPr>
            <w:tcW w:type="dxa" w:w="2420"/>
            <w:shd w:val="clear" w:fill="D9E2F3"/>
          </w:tcPr>
          <w:p>
            <w:r/>
            <w:r>
              <w:rPr>
                <w:b/>
                <w:sz w:val="20"/>
              </w:rPr>
              <w:t>Outcome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12-Jan-2026</w:t>
            </w:r>
          </w:p>
        </w:tc>
        <w:tc>
          <w:tcPr>
            <w:tcW w:type="dxa" w:w="2420"/>
            <w:shd w:val="clear" w:fill="FFF2CC"/>
          </w:tcPr>
          <w:p>
            <w:r/>
            <w:r>
              <w:rPr>
                <w:b w:val="0"/>
                <w:sz w:val="20"/>
              </w:rPr>
              <w:t>Sterilisation load failed its biological indicator (spore) test</w:t>
            </w:r>
          </w:p>
        </w:tc>
        <w:tc>
          <w:tcPr>
            <w:tcW w:type="dxa" w:w="2420"/>
            <w:shd w:val="clear" w:fill="FFF2CC"/>
          </w:tcPr>
          <w:p>
            <w:r/>
            <w:r>
              <w:rPr>
                <w:b w:val="0"/>
                <w:sz w:val="20"/>
              </w:rPr>
              <w:t>Issue/use stopped immediately and escalated to the IPC Officer</w:t>
            </w:r>
          </w:p>
        </w:tc>
        <w:tc>
          <w:tcPr>
            <w:tcW w:type="dxa" w:w="2420"/>
            <w:shd w:val="clear" w:fill="FFF2CC"/>
          </w:tcPr>
          <w:p>
            <w:r/>
            <w:r>
              <w:rPr>
                <w:b w:val="0"/>
                <w:sz w:val="20"/>
              </w:rPr>
              <w:t>Root cause fixed and confirmed before work resumed; logged for the next IPC Committee meeting</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