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IPC.8.c — Work restrictions</w:t>
      </w:r>
    </w:p>
    <w:p>
      <w:r>
        <w:rPr>
          <w:b/>
          <w:sz w:val="30"/>
        </w:rPr>
        <w:t>IPC.8 Record 8 — Work restrictions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actual work restrictions applied (case records) — policy alone does not satisfy this Achievement OE.” — the specific evidence element IPC.8.c (Achievement) of this policy asks for. Every time this activity actually happens, whoever did it adds one new row below with: Staff Name, Condition Triggering Restriction, Restriction Type, Start Date, Clearance / End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logs a new entry the moment a real, named staff member is actually placed on a work restriction. The worked example below shows a real entry: on 10-Jan-2026, staff name was “Ramesh Patel”, condition triggering restriction was “Suspected active pulmonary TB”, restriction type was “Reassigned away from direct patient contact pending clearance”.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work-restriction policy protects no one if it's never actually applied to a real staff member with a real transmissible infection. NABH specifically requires the case-level record, not just the policy, because a policy nobody actually follows has zero protective effect. This is an Achievement-level requirement — NABH expects mature, ongoing evidence of impact, not a one-time exercise.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Name of the actual staff member restricted — this must be a real case, a policy alone doesn't satisfy this.</w:t>
      </w:r>
    </w:p>
    <w:p>
      <w:pPr>
        <w:pStyle w:val="ListParagraph"/>
      </w:pPr>
      <w:r>
        <w:rPr>
          <w:b/>
        </w:rPr>
        <w:t xml:space="preserve">Condition Triggering Restriction: </w:t>
      </w:r>
      <w:r>
        <w:t>What actually triggered the restriction.</w:t>
      </w:r>
    </w:p>
    <w:p>
      <w:pPr>
        <w:pStyle w:val="ListParagraph"/>
      </w:pPr>
      <w:r>
        <w:rPr>
          <w:b/>
        </w:rPr>
        <w:t xml:space="preserve">Restriction Type: </w:t>
      </w:r>
      <w:r>
        <w:t>What was actually restricted.</w:t>
      </w:r>
    </w:p>
    <w:p>
      <w:pPr>
        <w:pStyle w:val="ListParagraph"/>
      </w:pPr>
      <w:r>
        <w:rPr>
          <w:b/>
        </w:rPr>
        <w:t xml:space="preserve">Start Date: </w:t>
      </w:r>
      <w:r>
        <w:t>The date the restriction actually started.</w:t>
      </w:r>
    </w:p>
    <w:p>
      <w:pPr>
        <w:pStyle w:val="ListParagraph"/>
      </w:pPr>
      <w:r>
        <w:rPr>
          <w:b/>
        </w:rPr>
        <w:t xml:space="preserve">Clearance / End Date: </w:t>
      </w:r>
      <w:r>
        <w:t>The date it actually ended, and who cleared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Condition Triggering Restriction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Restriction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Clearance / End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Ramesh Patel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Suspected active pulmonary TB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Reassigned away from direct patient contact pending clearance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Cleared to return 24-Jan-2026 on treating physician's note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