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IPC.8.e — PEP provision</w:t>
      </w:r>
    </w:p>
    <w:p>
      <w:r>
        <w:rPr>
          <w:b/>
          <w:sz w:val="30"/>
        </w:rPr>
        <w:t>IPC.8 Record 14 — PEP provision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An IPCN (Infection Prevention and Control Nurse) is a registered nurse who has done extra structured training in infection control, and whose job includes checking hand hygiene compliance, tracking infections, and supporting the IPC Officer day to day. This record is where you keep the proof for: “PEP record file maintained by the IPC Nurse: staff name, date, exposure type, PEP administered, follow-up schedule.” — the specific evidence element IPC.8.e (Commitment*) of this policy asks for. Every time this activity actually happens, whoever did it adds one new row below with: Staff Name, Date of Exposure, Exposure Type, PEP Administered, Follow-up Schedule. A worked example row is already filled in (shaded) below the header, so you can see exactly what a completed real entry looks like — don't leave that example row mixed in with real data once you start using this record.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IPC Nurse logs a new entry the moment a real staff exposure actually occurs and PEP is actually started. The worked example below shows a real entry: on 14-Jan-2026, staff name was “Anita Rao”, exposure type was “Needle-stick, source patient HIV status unknown”, pep administered was “Started same shift, 2-hour turnaround”.</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Post-exposure prophylaxis for HIV and Hepatitis B only works if it's started within hours, not days. This record proves the hospital's PEP pathway is actually fast enough in real practice — starting the same shift, not at the next available appointment — for a real staff exposure, not just fast on paper. This is a Commitment-level requirement — NABH expects the hospital to be actively working toward and evidencing it, not just planning to.</w:t>
            </w:r>
          </w:p>
        </w:tc>
      </w:tr>
    </w:tbl>
    <w:p/>
    <w:p>
      <w:r>
        <w:rPr>
          <w:b/>
          <w:sz w:val="22"/>
        </w:rPr>
        <w:t>How to fill this in — column by column</w:t>
      </w:r>
    </w:p>
    <w:p>
      <w:pPr>
        <w:pStyle w:val="ListParagraph"/>
      </w:pPr>
      <w:r>
        <w:rPr>
          <w:b/>
        </w:rPr>
        <w:t xml:space="preserve">Staff Name: </w:t>
      </w:r>
      <w:r>
        <w:t>Name of the exposed staff member.</w:t>
      </w:r>
    </w:p>
    <w:p>
      <w:pPr>
        <w:pStyle w:val="ListParagraph"/>
      </w:pPr>
      <w:r>
        <w:rPr>
          <w:b/>
        </w:rPr>
        <w:t xml:space="preserve">Date of Exposure: </w:t>
      </w:r>
      <w:r>
        <w:t>The date of the real exposure — PEP timing is measured from this.</w:t>
      </w:r>
    </w:p>
    <w:p>
      <w:pPr>
        <w:pStyle w:val="ListParagraph"/>
      </w:pPr>
      <w:r>
        <w:rPr>
          <w:b/>
        </w:rPr>
        <w:t xml:space="preserve">Exposure Type: </w:t>
      </w:r>
      <w:r>
        <w:t>What actually happened and what the source risk was.</w:t>
      </w:r>
    </w:p>
    <w:p>
      <w:pPr>
        <w:pStyle w:val="ListParagraph"/>
      </w:pPr>
      <w:r>
        <w:rPr>
          <w:b/>
        </w:rPr>
        <w:t xml:space="preserve">PEP Administered: </w:t>
      </w:r>
      <w:r>
        <w:t>What PEP was actually given, and when it was actually started.</w:t>
      </w:r>
    </w:p>
    <w:p>
      <w:pPr>
        <w:pStyle w:val="ListParagraph"/>
      </w:pPr>
      <w:r>
        <w:rPr>
          <w:b/>
        </w:rPr>
        <w:t xml:space="preserve">Follow-up Schedule: </w:t>
      </w:r>
      <w:r>
        <w:t>The follow-up testing schedule the staff member is actually on.</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Staff Name</w:t>
            </w:r>
          </w:p>
        </w:tc>
        <w:tc>
          <w:tcPr>
            <w:tcW w:type="dxa" w:w="1936"/>
            <w:shd w:val="clear" w:fill="D9E2F3"/>
          </w:tcPr>
          <w:p>
            <w:r/>
            <w:r>
              <w:rPr>
                <w:b/>
                <w:sz w:val="20"/>
              </w:rPr>
              <w:t>Date of Exposure</w:t>
            </w:r>
          </w:p>
        </w:tc>
        <w:tc>
          <w:tcPr>
            <w:tcW w:type="dxa" w:w="1936"/>
            <w:shd w:val="clear" w:fill="D9E2F3"/>
          </w:tcPr>
          <w:p>
            <w:r/>
            <w:r>
              <w:rPr>
                <w:b/>
                <w:sz w:val="20"/>
              </w:rPr>
              <w:t>Exposure Type</w:t>
            </w:r>
          </w:p>
        </w:tc>
        <w:tc>
          <w:tcPr>
            <w:tcW w:type="dxa" w:w="1936"/>
            <w:shd w:val="clear" w:fill="D9E2F3"/>
          </w:tcPr>
          <w:p>
            <w:r/>
            <w:r>
              <w:rPr>
                <w:b/>
                <w:sz w:val="20"/>
              </w:rPr>
              <w:t>PEP Administered</w:t>
            </w:r>
          </w:p>
        </w:tc>
        <w:tc>
          <w:tcPr>
            <w:tcW w:type="dxa" w:w="1936"/>
            <w:shd w:val="clear" w:fill="D9E2F3"/>
          </w:tcPr>
          <w:p>
            <w:r/>
            <w:r>
              <w:rPr>
                <w:b/>
                <w:sz w:val="20"/>
              </w:rPr>
              <w:t>Follow-up Schedule</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Anita Rao</w:t>
            </w:r>
          </w:p>
        </w:tc>
        <w:tc>
          <w:tcPr>
            <w:tcW w:type="dxa" w:w="1936"/>
            <w:shd w:val="clear" w:fill="FFF2CC"/>
          </w:tcPr>
          <w:p>
            <w:r/>
            <w:r>
              <w:rPr>
                <w:b w:val="0"/>
                <w:sz w:val="20"/>
              </w:rPr>
              <w:t>14-Jan-2026</w:t>
            </w:r>
          </w:p>
        </w:tc>
        <w:tc>
          <w:tcPr>
            <w:tcW w:type="dxa" w:w="1936"/>
            <w:shd w:val="clear" w:fill="FFF2CC"/>
          </w:tcPr>
          <w:p>
            <w:r/>
            <w:r>
              <w:rPr>
                <w:b w:val="0"/>
                <w:sz w:val="20"/>
              </w:rPr>
              <w:t>Needle-stick, source patient HIV status unknown</w:t>
            </w:r>
          </w:p>
        </w:tc>
        <w:tc>
          <w:tcPr>
            <w:tcW w:type="dxa" w:w="1936"/>
            <w:shd w:val="clear" w:fill="FFF2CC"/>
          </w:tcPr>
          <w:p>
            <w:r/>
            <w:r>
              <w:rPr>
                <w:b w:val="0"/>
                <w:sz w:val="20"/>
              </w:rPr>
              <w:t>Started same shift, 2-hour turnaround</w:t>
            </w:r>
          </w:p>
        </w:tc>
        <w:tc>
          <w:tcPr>
            <w:tcW w:type="dxa" w:w="1936"/>
            <w:shd w:val="clear" w:fill="FFF2CC"/>
          </w:tcPr>
          <w:p>
            <w:r/>
            <w:r>
              <w:rPr>
                <w:b w:val="0"/>
                <w:sz w:val="20"/>
              </w:rPr>
              <w:t>Repeat testing at 6 weeks, 3 months, 6 months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