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MOM.10.b — Lifecycle guidance: procurement, storage, issuing, use (Commitment*)</w:t>
      </w:r>
    </w:p>
    <w:p>
      <w:r>
        <w:rPr>
          <w:b/>
          <w:sz w:val="30"/>
        </w:rPr>
        <w:t>MOM.10 Record 2 — Implant Lifecycle Guidance Coverage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written guidance covers procurement, storage, issuing, and use, including IPC requirements. Every time this happens for real, whoever is responsible adds one new row to the table below, filling in: Lifecycle Stage, Documented (Y/N), IPC Requirements Included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written guidance covers procurement, storage, issuing, and use, including IPC requirements. The worked example below shows a real entry: lifecycle stage was “Storage”, documented (y/n) was “Yes”, ipc requirements included (y/n) was “Yes, sterile storage conditions specified”.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Lifecycle Stage: </w:t>
      </w:r>
      <w:r>
        <w:t>Enter the actual lifecycle stage for this specific entry — real information from what actually happened, not a placeholder. The worked example row below shows 'Storage' in this column, so you can see the level of detail expected — write your own real entry in that same style, not a copy of the example.</w:t>
      </w:r>
    </w:p>
    <w:p>
      <w:pPr>
        <w:pStyle w:val="ListParagraph"/>
      </w:pPr>
      <w:r>
        <w:rPr>
          <w:b/>
        </w:rPr>
        <w:t xml:space="preserve">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IPC Requirements Included (Y/N): </w:t>
      </w:r>
      <w:r>
        <w:t>Answer honestly with what's actually true — Y or N. Don't default to Y without checking. The worked example row below shows 'Yes, sterile storage conditions specified'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Lifecycle Stage</w:t>
            </w:r>
          </w:p>
        </w:tc>
        <w:tc>
          <w:tcPr>
            <w:tcW w:type="dxa" w:w="3227"/>
            <w:shd w:val="clear" w:fill="D9E2F3"/>
          </w:tcPr>
          <w:p>
            <w:r/>
            <w:r>
              <w:rPr>
                <w:b/>
                <w:sz w:val="20"/>
              </w:rPr>
              <w:t>Documented (Y/N)</w:t>
            </w:r>
          </w:p>
        </w:tc>
        <w:tc>
          <w:tcPr>
            <w:tcW w:type="dxa" w:w="3227"/>
            <w:shd w:val="clear" w:fill="D9E2F3"/>
          </w:tcPr>
          <w:p>
            <w:r/>
            <w:r>
              <w:rPr>
                <w:b/>
                <w:sz w:val="20"/>
              </w:rPr>
              <w:t>IPC Requirements Included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Storage</w:t>
            </w:r>
          </w:p>
        </w:tc>
        <w:tc>
          <w:tcPr>
            <w:tcW w:type="dxa" w:w="3227"/>
            <w:shd w:val="clear" w:fill="FFF2CC"/>
          </w:tcPr>
          <w:p>
            <w:r/>
            <w:r>
              <w:rPr>
                <w:b w:val="0"/>
                <w:sz w:val="20"/>
              </w:rPr>
              <w:t>Yes</w:t>
            </w:r>
          </w:p>
        </w:tc>
        <w:tc>
          <w:tcPr>
            <w:tcW w:type="dxa" w:w="3227"/>
            <w:shd w:val="clear" w:fill="FFF2CC"/>
          </w:tcPr>
          <w:p>
            <w:r/>
            <w:r>
              <w:rPr>
                <w:b w:val="0"/>
                <w:sz w:val="20"/>
              </w:rPr>
              <w:t>Yes, sterile storage conditions specified</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