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MOM.11.a — Acquisition process (Commitment*)</w:t>
      </w:r>
    </w:p>
    <w:p>
      <w:r>
        <w:rPr>
          <w:b/>
          <w:sz w:val="30"/>
        </w:rPr>
        <w:t>MOM.11 Record 1 — Medical Supplies Acquisition Process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defined acquisition process covers vendor selection, vendor evaluation, indenting, purchase order generation, and receipt of goods. Every time this happens for real, whoever is responsible adds one new row to the table below, filling in: Acquisition Element, Documented (Y/N), Section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the defined acquisition process covers vendor selection, vendor evaluation, indenting, purchase order generation, and receipt of goods. The worked example below shows a real entry: acquisition element was “Vendor evaluation criteria”, documented (y/n) was “Yes”, section reference was “Section 5.1.2”.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Acquisition Element: </w:t>
      </w:r>
      <w:r>
        <w:t>Enter the actual acquisition element for this specific entry — real information from what actually happened, not a placeholder. The worked example row below shows 'Vendor evaluation criteria' in this column, so you can see the level of detail expected — write your own real entry in that same style, not a copy of the example.</w:t>
      </w:r>
    </w:p>
    <w:p>
      <w:pPr>
        <w:pStyle w:val="ListParagraph"/>
      </w:pPr>
      <w:r>
        <w:rPr>
          <w:b/>
        </w:rPr>
        <w:t xml:space="preserve">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Section Reference: </w:t>
      </w:r>
      <w:r>
        <w:t>Which section/page of the source document this maps to. The worked example row below shows 'Section 5.1.2'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Acquisition Element</w:t>
            </w:r>
          </w:p>
        </w:tc>
        <w:tc>
          <w:tcPr>
            <w:tcW w:type="dxa" w:w="3227"/>
            <w:shd w:val="clear" w:fill="D9E2F3"/>
          </w:tcPr>
          <w:p>
            <w:r/>
            <w:r>
              <w:rPr>
                <w:b/>
                <w:sz w:val="20"/>
              </w:rPr>
              <w:t>Documented (Y/N)</w:t>
            </w:r>
          </w:p>
        </w:tc>
        <w:tc>
          <w:tcPr>
            <w:tcW w:type="dxa" w:w="3227"/>
            <w:shd w:val="clear" w:fill="D9E2F3"/>
          </w:tcPr>
          <w:p>
            <w:r/>
            <w:r>
              <w:rPr>
                <w:b/>
                <w:sz w:val="20"/>
              </w:rPr>
              <w:t>Section Reference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Vendor evaluation criteria</w:t>
            </w:r>
          </w:p>
        </w:tc>
        <w:tc>
          <w:tcPr>
            <w:tcW w:type="dxa" w:w="3227"/>
            <w:shd w:val="clear" w:fill="FFF2CC"/>
          </w:tcPr>
          <w:p>
            <w:r/>
            <w:r>
              <w:rPr>
                <w:b w:val="0"/>
                <w:sz w:val="20"/>
              </w:rPr>
              <w:t>Yes</w:t>
            </w:r>
          </w:p>
        </w:tc>
        <w:tc>
          <w:tcPr>
            <w:tcW w:type="dxa" w:w="3227"/>
            <w:shd w:val="clear" w:fill="FFF2CC"/>
          </w:tcPr>
          <w:p>
            <w:r/>
            <w:r>
              <w:rPr>
                <w:b w:val="0"/>
                <w:sz w:val="20"/>
              </w:rPr>
              <w:t>Section 5.1.2</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