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MOM.11.c — Storage per manufacturer requirements (Commitment)</w:t>
      </w:r>
    </w:p>
    <w:p>
      <w:r>
        <w:rPr>
          <w:b/>
          <w:sz w:val="30"/>
        </w:rPr>
        <w:t>MOM.11 Record 3 — Consumables Storage Compliance Checklist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storage per manufacturer requirements in every storage area including wards, protection from loss/theft, and safe hazardous-material storage. Every time this happens for real, whoever is responsible adds one new row to the table below, filling in: Storage Area (Including Wards), Manufacturer Conditions Met (Y/N), Secured (Y/N), Hazardous Materials Identified &amp; Safely Stored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reviewer fills in a new row every time this specific check is actually carried out against real practice — in this case, that means storage per manufacturer requirements in every storage area including wards, protection from loss/theft, and safe hazardous-material storage. The worked example below shows a real entry: storage area (including wards) was “Ward 4 supply room”, manufacturer conditions met (y/n) was “Yes”, secured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written rule that's never checked against real practice is just a document — this record is what proves it's actually being followed. This element is also starred, meaning NABH specifically requires written documentary evidence, not just a verbal assurance that the practice happens.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Storage Area (Including Wards): </w:t>
      </w:r>
      <w:r>
        <w:t>Which department, ward or area this relates to. The worked example row below shows 'Ward 4 supply room'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Manufacturer Conditions Met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Secured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Hazardous Materials Identified &amp; Safely Stored (Y/N): </w:t>
      </w:r>
      <w:r>
        <w:t>Answer honestly with what's actually true — Y or N. Don't default to Y without checking. The worked example row below shows 'Yes, separate cabinet'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Storage Area (Including Wards)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Manufacturer Conditions Met (Y/N)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Secured (Y/N)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Hazardous Materials Identified &amp; Safely Stored (Y/N)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Ward 4 supply room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Yes, separate cabinet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