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MOM.2.c — Formulary available to every treating doctor (Commitment)</w:t>
      </w:r>
    </w:p>
    <w:p>
      <w:r>
        <w:rPr>
          <w:b/>
          <w:sz w:val="30"/>
        </w:rPr>
        <w:t>MOM.2 Record 4 — Formulary Distribution/Access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The formulary is the hospital's own approved list of medications that can be prescribed and stocked, decided by the Pharmacy and Therapeutics (P&amp;T) Committee. Confirms the current formulary is available to every treating doctor, physically or electronically. Every time this happens for real, whoever is responsible adds one new row to the table below, filling in: Department, Access Method (Physical/Electronic), Confirmed Current Version Held, Checked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the current formulary is available to every treating doctor, physically or electronically. The worked example below shows a real entry: department was “Cardiology OPD”, access method (physical/electronic) was “Electronic (EMR module)”, confirmed current version held was “Yes, v4.0”.</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current formulary or guidance document that clinicians can't actually reach when they need it is no better than no formulary at all — this record proves it was actually made available, not just published somewhere.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Department: </w:t>
      </w:r>
      <w:r>
        <w:t>Which department, ward or area this relates to. The worked example row below shows 'Cardiology OPD' in this column, so you can see the level of detail expected — write your own real entry in that same style, not a copy of the example.</w:t>
      </w:r>
    </w:p>
    <w:p>
      <w:pPr>
        <w:pStyle w:val="ListParagraph"/>
      </w:pPr>
      <w:r>
        <w:rPr>
          <w:b/>
        </w:rPr>
        <w:t xml:space="preserve">Access Method (Physical/Electronic): </w:t>
      </w:r>
      <w:r>
        <w:t>Enter the actual access method (physical/electronic) for this specific entry — real information from what actually happened, not a placeholder. The worked example row below shows 'Electronic (EMR module)' in this column, so you can see the level of detail expected — write your own real entry in that same style, not a copy of the example.</w:t>
      </w:r>
    </w:p>
    <w:p>
      <w:pPr>
        <w:pStyle w:val="ListParagraph"/>
      </w:pPr>
      <w:r>
        <w:rPr>
          <w:b/>
        </w:rPr>
        <w:t xml:space="preserve">Confirmed Current Version Held: </w:t>
      </w:r>
      <w:r>
        <w:t>Enter the actual confirmed current version held for this specific entry — real information from what actually happened, not a placeholder. The worked example row below shows 'Yes, v4.0' in this column, so you can see the level of detail expected — write your own real entry in that same style, not a copy of the example.</w:t>
      </w:r>
    </w:p>
    <w:p>
      <w:pPr>
        <w:pStyle w:val="ListParagraph"/>
      </w:pPr>
      <w:r>
        <w:rPr>
          <w:b/>
        </w:rPr>
        <w:t xml:space="preserve">Checked By: </w:t>
      </w:r>
      <w:r>
        <w:t>Name of whoever actually did the check — this is the person accountable if the check turns out to be wrong. The worked example row below shows 'Pharmacy In-Charge'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Department</w:t>
            </w:r>
          </w:p>
        </w:tc>
        <w:tc>
          <w:tcPr>
            <w:tcW w:type="dxa" w:w="2420"/>
            <w:shd w:val="clear" w:fill="D9E2F3"/>
          </w:tcPr>
          <w:p>
            <w:r/>
            <w:r>
              <w:rPr>
                <w:b/>
                <w:sz w:val="20"/>
              </w:rPr>
              <w:t>Access Method (Physical/Electronic)</w:t>
            </w:r>
          </w:p>
        </w:tc>
        <w:tc>
          <w:tcPr>
            <w:tcW w:type="dxa" w:w="2420"/>
            <w:shd w:val="clear" w:fill="D9E2F3"/>
          </w:tcPr>
          <w:p>
            <w:r/>
            <w:r>
              <w:rPr>
                <w:b/>
                <w:sz w:val="20"/>
              </w:rPr>
              <w:t>Confirmed Current Version Held</w:t>
            </w:r>
          </w:p>
        </w:tc>
        <w:tc>
          <w:tcPr>
            <w:tcW w:type="dxa" w:w="2420"/>
            <w:shd w:val="clear" w:fill="D9E2F3"/>
          </w:tcPr>
          <w:p>
            <w:r/>
            <w:r>
              <w:rPr>
                <w:b/>
                <w:sz w:val="20"/>
              </w:rPr>
              <w:t>Checked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Cardiology OPD</w:t>
            </w:r>
          </w:p>
        </w:tc>
        <w:tc>
          <w:tcPr>
            <w:tcW w:type="dxa" w:w="2420"/>
            <w:shd w:val="clear" w:fill="FFF2CC"/>
          </w:tcPr>
          <w:p>
            <w:r/>
            <w:r>
              <w:rPr>
                <w:b w:val="0"/>
                <w:sz w:val="20"/>
              </w:rPr>
              <w:t>Electronic (EMR module)</w:t>
            </w:r>
          </w:p>
        </w:tc>
        <w:tc>
          <w:tcPr>
            <w:tcW w:type="dxa" w:w="2420"/>
            <w:shd w:val="clear" w:fill="FFF2CC"/>
          </w:tcPr>
          <w:p>
            <w:r/>
            <w:r>
              <w:rPr>
                <w:b w:val="0"/>
                <w:sz w:val="20"/>
              </w:rPr>
              <w:t>Yes, v4.0</w:t>
            </w:r>
          </w:p>
        </w:tc>
        <w:tc>
          <w:tcPr>
            <w:tcW w:type="dxa" w:w="2420"/>
            <w:shd w:val="clear" w:fill="FFF2CC"/>
          </w:tcPr>
          <w:p>
            <w:r/>
            <w:r>
              <w:rPr>
                <w:b w:val="0"/>
                <w:sz w:val="20"/>
              </w:rPr>
              <w:t>Pharmacy In-Charge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