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MOM.3.b — Inventory control practices (Commitment)</w:t>
      </w:r>
    </w:p>
    <w:p>
      <w:r>
        <w:rPr>
          <w:b/>
          <w:sz w:val="30"/>
        </w:rPr>
        <w:t>MOM.3 Record 3 — Inventory Control Practice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Per-batch stock-movement record showing receipt, issue, and opening/closing balance for a medication, so stock can actually be traced and reconciled — an inventory-method declaration alone (e.g. 'FEFO') doesn't show whether stock was actually tracked and reconciled; these columns do. Every time this happens for real, whoever is responsible adds one new row to the table below, filling in: Area, Medication, Batch/Lot No., Opening Stock, Received (Qty + GRN Ref.), Issued, Closing Stock, Non-Regular Medication Mechanism (if applicable),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per-batch stock-movement record showing receipt, issue, and opening/closing balance for a medication, so stock can actually be traced and reconciled — an inventory-method declaration alone (e.g. 'FEFO') doesn't show whether stock was actually tracked and reconciled; these columns do. The worked example below shows a real entry: area was “Main Pharmacy”, medication was “Inj. Ceftriaxone 1g”, batch/lot no. was “BN-24501”.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Medication storage that's never checked drifts out of compliance quietly — wrong temperature, wrong separation, wrong access — until an assessor or a patient finds it.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Area: </w:t>
      </w:r>
      <w:r>
        <w:t>Which department, ward or area this relates to. The worked example row below shows 'Main Pharmacy' in this column, so you can see the level of detail expected — write your own real entry in that same style, not a copy of the example.</w:t>
      </w:r>
    </w:p>
    <w:p>
      <w:pPr>
        <w:pStyle w:val="ListParagraph"/>
      </w:pPr>
      <w:r>
        <w:rPr>
          <w:b/>
        </w:rPr>
        <w:t xml:space="preserve">Medication: </w:t>
      </w:r>
      <w:r>
        <w:t>The actual medication name — brand and/or generic, exactly as prescribed or stocked. The worked example row below shows 'Inj. Ceftriaxone 1g' in this column, so you can see the level of detail expected — write your own real entry in that same style, not a copy of the example.</w:t>
      </w:r>
    </w:p>
    <w:p>
      <w:pPr>
        <w:pStyle w:val="ListParagraph"/>
      </w:pPr>
      <w:r>
        <w:rPr>
          <w:b/>
        </w:rPr>
        <w:t xml:space="preserve">Batch/Lot No.: </w:t>
      </w:r>
      <w:r>
        <w:t>The actual batch/lot number from the packaging. The worked example row below shows 'BN-24501' in this column, so you can see the level of detail expected — write your own real entry in that same style, not a copy of the example.</w:t>
      </w:r>
    </w:p>
    <w:p>
      <w:pPr>
        <w:pStyle w:val="ListParagraph"/>
      </w:pPr>
      <w:r>
        <w:rPr>
          <w:b/>
        </w:rPr>
        <w:t xml:space="preserve">Opening Stock: </w:t>
      </w:r>
      <w:r>
        <w:t>The actual quantity on hand or used — a real count, not an estimate. The worked example row below shows '120' in this column, so you can see the level of detail expected — write your own real entry in that same style, not a copy of the example.</w:t>
      </w:r>
    </w:p>
    <w:p>
      <w:pPr>
        <w:pStyle w:val="ListParagraph"/>
      </w:pPr>
      <w:r>
        <w:rPr>
          <w:b/>
        </w:rPr>
        <w:t xml:space="preserve">Received (Qty + GRN Ref.): </w:t>
      </w:r>
      <w:r>
        <w:t>Enter the actual received (qty + grn ref.) for this specific entry — real information from what actually happened, not a placeholder. The worked example row below shows '50 (GRN-2601, 03-Feb-2026)' in this column, so you can see the level of detail expected — write your own real entry in that same style, not a copy of the example.</w:t>
      </w:r>
    </w:p>
    <w:p>
      <w:pPr>
        <w:pStyle w:val="ListParagraph"/>
      </w:pPr>
      <w:r>
        <w:rPr>
          <w:b/>
        </w:rPr>
        <w:t xml:space="preserve">Issued: </w:t>
      </w:r>
      <w:r>
        <w:t>Enter the actual issued for this specific entry — real information from what actually happened, not a placeholder. The worked example row below shows '40' in this column, so you can see the level of detail expected — write your own real entry in that same style, not a copy of the example.</w:t>
      </w:r>
    </w:p>
    <w:p>
      <w:pPr>
        <w:pStyle w:val="ListParagraph"/>
      </w:pPr>
      <w:r>
        <w:rPr>
          <w:b/>
        </w:rPr>
        <w:t xml:space="preserve">Closing Stock: </w:t>
      </w:r>
      <w:r>
        <w:t>The actual quantity on hand or used — a real count, not an estimate. The worked example row below shows '130' in this column, so you can see the level of detail expected — write your own real entry in that same style, not a copy of the example.</w:t>
      </w:r>
    </w:p>
    <w:p>
      <w:pPr>
        <w:pStyle w:val="ListParagraph"/>
      </w:pPr>
      <w:r>
        <w:rPr>
          <w:b/>
        </w:rPr>
        <w:t xml:space="preserve">Non-Regular Medication Mechanism (if applicable): </w:t>
      </w:r>
      <w:r>
        <w:t>The actual medication name — brand and/or generic, exactly as prescribed or stocked. The worked example row below shows 'N/A — regularly stocked item'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'Chief Pharmacist'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76"/>
        <w:gridCol w:w="1076"/>
        <w:gridCol w:w="1076"/>
        <w:gridCol w:w="1076"/>
        <w:gridCol w:w="1076"/>
        <w:gridCol w:w="1076"/>
        <w:gridCol w:w="1076"/>
        <w:gridCol w:w="1076"/>
        <w:gridCol w:w="1076"/>
      </w:tblGrid>
      <w:tr>
        <w:tc>
          <w:tcPr>
            <w:tcW w:type="dxa" w:w="1076"/>
            <w:shd w:val="clear" w:fill="D9E2F3"/>
          </w:tcPr>
          <w:p>
            <w:r/>
            <w:r>
              <w:rPr>
                <w:b/>
                <w:sz w:val="20"/>
              </w:rPr>
              <w:t>Area</w:t>
            </w:r>
          </w:p>
        </w:tc>
        <w:tc>
          <w:tcPr>
            <w:tcW w:type="dxa" w:w="1076"/>
            <w:shd w:val="clear" w:fill="D9E2F3"/>
          </w:tcPr>
          <w:p>
            <w:r/>
            <w:r>
              <w:rPr>
                <w:b/>
                <w:sz w:val="20"/>
              </w:rPr>
              <w:t>Medication</w:t>
            </w:r>
          </w:p>
        </w:tc>
        <w:tc>
          <w:tcPr>
            <w:tcW w:type="dxa" w:w="1076"/>
            <w:shd w:val="clear" w:fill="D9E2F3"/>
          </w:tcPr>
          <w:p>
            <w:r/>
            <w:r>
              <w:rPr>
                <w:b/>
                <w:sz w:val="20"/>
              </w:rPr>
              <w:t>Batch/Lot No.</w:t>
            </w:r>
          </w:p>
        </w:tc>
        <w:tc>
          <w:tcPr>
            <w:tcW w:type="dxa" w:w="1076"/>
            <w:shd w:val="clear" w:fill="D9E2F3"/>
          </w:tcPr>
          <w:p>
            <w:r/>
            <w:r>
              <w:rPr>
                <w:b/>
                <w:sz w:val="20"/>
              </w:rPr>
              <w:t>Opening Stock</w:t>
            </w:r>
          </w:p>
        </w:tc>
        <w:tc>
          <w:tcPr>
            <w:tcW w:type="dxa" w:w="1076"/>
            <w:shd w:val="clear" w:fill="D9E2F3"/>
          </w:tcPr>
          <w:p>
            <w:r/>
            <w:r>
              <w:rPr>
                <w:b/>
                <w:sz w:val="20"/>
              </w:rPr>
              <w:t>Received (Qty + GRN Ref.)</w:t>
            </w:r>
          </w:p>
        </w:tc>
        <w:tc>
          <w:tcPr>
            <w:tcW w:type="dxa" w:w="1076"/>
            <w:shd w:val="clear" w:fill="D9E2F3"/>
          </w:tcPr>
          <w:p>
            <w:r/>
            <w:r>
              <w:rPr>
                <w:b/>
                <w:sz w:val="20"/>
              </w:rPr>
              <w:t>Issued</w:t>
            </w:r>
          </w:p>
        </w:tc>
        <w:tc>
          <w:tcPr>
            <w:tcW w:type="dxa" w:w="1076"/>
            <w:shd w:val="clear" w:fill="D9E2F3"/>
          </w:tcPr>
          <w:p>
            <w:r/>
            <w:r>
              <w:rPr>
                <w:b/>
                <w:sz w:val="20"/>
              </w:rPr>
              <w:t>Closing Stock</w:t>
            </w:r>
          </w:p>
        </w:tc>
        <w:tc>
          <w:tcPr>
            <w:tcW w:type="dxa" w:w="1076"/>
            <w:shd w:val="clear" w:fill="D9E2F3"/>
          </w:tcPr>
          <w:p>
            <w:r/>
            <w:r>
              <w:rPr>
                <w:b/>
                <w:sz w:val="20"/>
              </w:rPr>
              <w:t>Non-Regular Medication Mechanism (if applicable)</w:t>
            </w:r>
          </w:p>
        </w:tc>
        <w:tc>
          <w:tcPr>
            <w:tcW w:type="dxa" w:w="1076"/>
            <w:shd w:val="clear" w:fill="D9E2F3"/>
          </w:tcPr>
          <w:p>
            <w:r/>
            <w:r>
              <w:rPr>
                <w:b/>
                <w:sz w:val="20"/>
              </w:rPr>
              <w:t>Verified By</w:t>
            </w:r>
          </w:p>
        </w:tc>
      </w:tr>
      <w:tr>
        <w:tc>
          <w:tcPr>
            <w:tcW w:type="dxa" w:w="9684"/>
            <w:gridSpan w:val="9"/>
            <w:shd w:val="clear" w:fill="FFF2CC"/>
          </w:tcPr>
          <w:p>
            <w:r/>
            <w:r>
              <w:rPr>
                <w:b/>
                <w:sz w:val="18"/>
              </w:rPr>
              <w:t>WORKED EXAMPLE — TRAINING ONLY — NOT AN ACTUAL HOSPITAL RECORD</w:t>
            </w:r>
          </w:p>
        </w:tc>
      </w:tr>
      <w:tr>
        <w:tc>
          <w:tcPr>
            <w:tcW w:type="dxa" w:w="1076"/>
            <w:shd w:val="clear" w:fill="FFF2CC"/>
          </w:tcPr>
          <w:p>
            <w:r/>
            <w:r>
              <w:rPr>
                <w:b w:val="0"/>
                <w:sz w:val="20"/>
              </w:rPr>
              <w:t>Main Pharmacy</w:t>
            </w:r>
          </w:p>
        </w:tc>
        <w:tc>
          <w:tcPr>
            <w:tcW w:type="dxa" w:w="1076"/>
            <w:shd w:val="clear" w:fill="FFF2CC"/>
          </w:tcPr>
          <w:p>
            <w:r/>
            <w:r>
              <w:rPr>
                <w:b w:val="0"/>
                <w:sz w:val="20"/>
              </w:rPr>
              <w:t>Inj. Ceftriaxone 1g</w:t>
            </w:r>
          </w:p>
        </w:tc>
        <w:tc>
          <w:tcPr>
            <w:tcW w:type="dxa" w:w="1076"/>
            <w:shd w:val="clear" w:fill="FFF2CC"/>
          </w:tcPr>
          <w:p>
            <w:r/>
            <w:r>
              <w:rPr>
                <w:b w:val="0"/>
                <w:sz w:val="20"/>
              </w:rPr>
              <w:t>BN-24501</w:t>
            </w:r>
          </w:p>
        </w:tc>
        <w:tc>
          <w:tcPr>
            <w:tcW w:type="dxa" w:w="1076"/>
            <w:shd w:val="clear" w:fill="FFF2CC"/>
          </w:tcPr>
          <w:p>
            <w:r/>
            <w:r>
              <w:rPr>
                <w:b w:val="0"/>
                <w:sz w:val="20"/>
              </w:rPr>
              <w:t>120</w:t>
            </w:r>
          </w:p>
        </w:tc>
        <w:tc>
          <w:tcPr>
            <w:tcW w:type="dxa" w:w="1076"/>
            <w:shd w:val="clear" w:fill="FFF2CC"/>
          </w:tcPr>
          <w:p>
            <w:r/>
            <w:r>
              <w:rPr>
                <w:b w:val="0"/>
                <w:sz w:val="20"/>
              </w:rPr>
              <w:t>50 (GRN-2601, 03-Feb-2026)</w:t>
            </w:r>
          </w:p>
        </w:tc>
        <w:tc>
          <w:tcPr>
            <w:tcW w:type="dxa" w:w="1076"/>
            <w:shd w:val="clear" w:fill="FFF2CC"/>
          </w:tcPr>
          <w:p>
            <w:r/>
            <w:r>
              <w:rPr>
                <w:b w:val="0"/>
                <w:sz w:val="20"/>
              </w:rPr>
              <w:t>40</w:t>
            </w:r>
          </w:p>
        </w:tc>
        <w:tc>
          <w:tcPr>
            <w:tcW w:type="dxa" w:w="1076"/>
            <w:shd w:val="clear" w:fill="FFF2CC"/>
          </w:tcPr>
          <w:p>
            <w:r/>
            <w:r>
              <w:rPr>
                <w:b w:val="0"/>
                <w:sz w:val="20"/>
              </w:rPr>
              <w:t>130</w:t>
            </w:r>
          </w:p>
        </w:tc>
        <w:tc>
          <w:tcPr>
            <w:tcW w:type="dxa" w:w="1076"/>
            <w:shd w:val="clear" w:fill="FFF2CC"/>
          </w:tcPr>
          <w:p>
            <w:r/>
            <w:r>
              <w:rPr>
                <w:b w:val="0"/>
                <w:sz w:val="20"/>
              </w:rPr>
              <w:t>N/A — regularly stocked item</w:t>
            </w:r>
          </w:p>
        </w:tc>
        <w:tc>
          <w:tcPr>
            <w:tcW w:type="dxa" w:w="1076"/>
            <w:shd w:val="clear" w:fill="FFF2CC"/>
          </w:tcPr>
          <w:p>
            <w:r/>
            <w:r>
              <w:rPr>
                <w:b w:val="0"/>
                <w:sz w:val="20"/>
              </w:rPr>
              <w:t>Chief Pharmacist</w:t>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r>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c>
          <w:tcPr>
            <w:tcW w:type="dxa" w:w="107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