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MOM.6.b — Medication recall system (Commitment*)</w:t>
      </w:r>
    </w:p>
    <w:p>
      <w:r>
        <w:rPr>
          <w:b/>
          <w:sz w:val="30"/>
        </w:rPr>
        <w:t>MOM.6 Record 2 — Medication Recall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Documents each recall occurrence, including regulatory-authority notification when internally identified. Every time this happens for real, whoever is responsible adds one new row to the table below, filling in: Medication/Batch, Recall Source (Internal/External), Regulatory Authority Informed (Y/N), Stock Withdrawn (Y/N), Date.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each recall occurrence, including regulatory-authority notification when internally identified. The worked example below shows a real entry: on 10-Feb-2026, medication/batch was “Batch AB456, Cefixime”, recall source (internal/external) was “Internal (visible particulate)”, regulatory authority informed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expired or recalled medication left in stock is a live risk sitting on a shelf — this record is what proves it was actually found and removed.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Medication/Batch: </w:t>
      </w:r>
      <w:r>
        <w:t>The actual medication name — brand and/or generic, exactly as prescribed or stocked. The worked example row below shows 'Batch AB456, Cefixime'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Recall Source (Internal/External): </w:t>
      </w:r>
      <w:r>
        <w:t>Enter the actual recall source (internal/external) for this specific entry — real information from what actually happened, not a placeholder. The worked example row below shows 'Internal (visible particulate)'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Regulatory Authority Informed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Stock Withdrawn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'10-Feb-2026'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Medication/Batch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Recall Source (Internal/External)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Regulatory Authority Informed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Stock Withdrawn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Batch AB456, Cefixime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Internal (visible particulate)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10-Feb-2026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