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2"/>
        </w:rPr>
        <w:t>Standard Operating Procedure</w:t>
      </w:r>
    </w:p>
    <w:p>
      <w:r>
        <w:rPr>
          <w:b/>
          <w:sz w:val="26"/>
        </w:rPr>
        <w:t>Chemotherapy and Radiopharmaceutical Handling</w:t>
      </w:r>
    </w:p>
    <w:p>
      <w:r>
        <w:t>«Hospital Name» — Supports MOM.9.b, MOM.9.c, MOM.9.d, MOM.9.e (chemotherapy/radiopharmaceuticals)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9680"/>
      </w:tblGrid>
      <w:tr>
        <w:tc>
          <w:tcPr>
            <w:tcW w:type="dxa" w:w="9680"/>
            <w:shd w:val="clear" w:fill="EAF7EA"/>
          </w:tcPr>
          <w:p>
            <w:r/>
            <w:r>
              <w:rPr>
                <w:b/>
                <w:sz w:val="22"/>
              </w:rPr>
              <w:t>Why does this SOP exist? (read this first if you're new)</w:t>
            </w:r>
          </w:p>
          <w:p>
            <w:r>
              <w:rPr>
                <w:sz w:val="20"/>
              </w:rPr>
              <w:t>This SOP describes how «Hospital Name» prepares and handles chemotherapy and radiopharmaceutical agents safely, protecting both patients and staff. If you're new to this SOP, the short version is: follow the numbered steps below in order — they exist because skipping one of them is exactly how a real gap or a real medication-safety incident happens, not because NABH likes paperwork for its own sake.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420"/>
        <w:gridCol w:w="2420"/>
        <w:gridCol w:w="2420"/>
        <w:gridCol w:w="2420"/>
      </w:tblGrid>
      <w:tr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SOP No.</w:t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  <w:t>[Hospital to define]</w:t>
            </w:r>
          </w:p>
        </w:tc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Version</w:t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  <w:t>1.0</w:t>
            </w:r>
          </w:p>
        </w:tc>
      </w:tr>
      <w:tr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Effective Date</w:t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  <w:t>________</w:t>
            </w:r>
          </w:p>
        </w:tc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Review Frequency</w:t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  <w:t>Annual, or on change</w:t>
            </w:r>
          </w:p>
        </w:tc>
      </w:tr>
      <w:tr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Prepared By</w:t>
            </w:r>
          </w:p>
        </w:tc>
        <w:tc>
          <w:tcPr>
            <w:tcW w:type="dxa" w:w="7260"/>
            <w:gridSpan w:val="3"/>
          </w:tcPr>
          <w:p>
            <w:r/>
            <w:r>
              <w:rPr>
                <w:b w:val="0"/>
                <w:sz w:val="20"/>
              </w:rPr>
              <w:t>Quality Coordinator   Name: ________   Signature: ________</w:t>
            </w:r>
          </w:p>
        </w:tc>
      </w:tr>
      <w:tr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Approved By</w:t>
            </w:r>
          </w:p>
        </w:tc>
        <w:tc>
          <w:tcPr>
            <w:tcW w:type="dxa" w:w="7260"/>
            <w:gridSpan w:val="3"/>
          </w:tcPr>
          <w:p>
            <w:r/>
            <w:r>
              <w:rPr>
                <w:b w:val="0"/>
                <w:sz w:val="20"/>
              </w:rPr>
              <w:t>Medical Superintendent   Name: ________   Signature: ________</w:t>
            </w:r>
          </w:p>
        </w:tc>
      </w:tr>
    </w:tbl>
    <w:p>
      <w:pPr>
        <w:pStyle w:val="Heading1"/>
      </w:pPr>
      <w:r>
        <w:t>1. Purpose</w:t>
      </w:r>
    </w:p>
    <w:p>
      <w:r>
        <w:t>This SOP describes how «Hospital Name» prepares and handles chemotherapy and radiopharmaceutical agents safely, protecting both patients and staff.</w:t>
      </w:r>
    </w:p>
    <w:p>
      <w:pPr>
        <w:pStyle w:val="Heading1"/>
      </w:pPr>
      <w:r>
        <w:t>2. Scope</w:t>
      </w:r>
    </w:p>
    <w:p>
      <w:r>
        <w:t>Applies to every chemotherapy and radiopharmaceutical agent prepared or administered at the hospital.</w:t>
      </w:r>
    </w:p>
    <w:p>
      <w:pPr>
        <w:pStyle w:val="Heading1"/>
      </w:pPr>
      <w:r>
        <w:t>3. Responsibility</w:t>
      </w:r>
    </w:p>
    <w:p>
      <w:r>
        <w:t xml:space="preserve">Medical Oncologist / Authorised Prescriber: </w:t>
      </w:r>
      <w:r>
        <w:t>prescribes with demonstrated competency in the relevant agent.</w:t>
      </w:r>
    </w:p>
    <w:p>
      <w:r>
        <w:t xml:space="preserve">Trained Onco-Pharmacist / Authorised Caregiver: </w:t>
      </w:r>
      <w:r>
        <w:t>prepares and administers using required safety equipment.</w:t>
      </w:r>
    </w:p>
    <w:p>
      <w:pPr>
        <w:pStyle w:val="Heading1"/>
      </w:pPr>
      <w:r>
        <w:t>4. Plain-Language Glossary</w:t>
      </w:r>
    </w:p>
    <w:p>
      <w:r>
        <w:t>If a word below is unfamiliar, this is what it means in this SOP:</w:t>
      </w:r>
    </w:p>
    <w:p>
      <w:pPr>
        <w:pStyle w:val="ListParagraph"/>
      </w:pPr>
      <w:r>
        <w:rPr>
          <w:b/>
        </w:rPr>
        <w:t xml:space="preserve">Narcotic/Psychotropic: </w:t>
      </w:r>
      <w:r>
        <w:t>Controlled substances (like strong painkillers or sedatives) that carry extra legal storage, dispensing and record-keeping requirements because of their potential for misuse.</w:t>
      </w:r>
    </w:p>
    <w:p>
      <w:pPr>
        <w:pStyle w:val="Heading1"/>
      </w:pPr>
      <w:r>
        <w:t>5. Procedure</w:t>
      </w:r>
    </w:p>
    <w:p>
      <w:pPr>
        <w:pStyle w:val="Heading2"/>
      </w:pPr>
      <w:r>
        <w:t>5.1 Chemotherapy</w:t>
      </w:r>
    </w:p>
    <w:p>
      <w:r>
        <w:rPr>
          <w:b/>
          <w:i/>
        </w:rPr>
        <w:t xml:space="preserve">Why this step matters: </w:t>
      </w:r>
      <w:r>
        <w:rPr>
          <w:i/>
        </w:rPr>
        <w:t>Skipping or rushing this step is exactly the kind of gap an assessor — or a real medication-safety incident — would eventually surface.</w:t>
      </w:r>
    </w:p>
    <w:p>
      <w:r>
        <w:t>1. Confirm the prescriber has demonstrated knowledge and competency in chemotherapy — preferably a medical oncologist.</w:t>
      </w:r>
    </w:p>
    <w:p>
      <w:r>
        <w:t>2. Prepare chemotherapy only in a Class II biosafety cabinet (preferably Class IIA), with appropriate personal protective equipment.</w:t>
      </w:r>
    </w:p>
    <w:p>
      <w:r>
        <w:t>3. Confirm preparation staff have received special training in hazardous drug handling before assigning them to this duty.</w:t>
      </w:r>
    </w:p>
    <w:p>
      <w:r>
        <w:t>4. Handle chemotherapy waste and spills per the hospital's hazardous-drug procedure, referencing the current NIOSH hazardous drug classification for the agent.</w:t>
      </w:r>
    </w:p>
    <w:p>
      <w:r>
        <w:rPr>
          <w:b/>
          <w:i/>
          <w:sz w:val="18"/>
        </w:rPr>
        <w:t xml:space="preserve">Technical source(s) for these steps: </w:t>
      </w:r>
    </w:p>
    <w:p>
      <w:pPr>
        <w:pStyle w:val="ListParagraph"/>
      </w:pPr>
      <w:hyperlink r:id="rId9">
        <w:r>
          <w:rPr>
            <w:color w:val="0563C1"/>
            <w:u w:val="single"/>
          </w:rPr>
          <w:t>American Society of Health-System Pharmacists. (2018). ASHP guidelines on handling hazardous drugs. American Journal of Health-System Pharmacy.</w:t>
        </w:r>
      </w:hyperlink>
    </w:p>
    <w:p>
      <w:pPr>
        <w:pStyle w:val="ListParagraph"/>
      </w:pPr>
      <w:hyperlink r:id="rId10">
        <w:r>
          <w:rPr>
            <w:color w:val="0563C1"/>
            <w:u w:val="single"/>
          </w:rPr>
          <w:t>National Institute for Occupational Safety and Health. (2024). NIOSH list of hazardous drugs in healthcare settings, 2024 (DHHS Publication No. 2025-103).</w:t>
        </w:r>
      </w:hyperlink>
    </w:p>
    <w:p>
      <w:pPr>
        <w:pStyle w:val="Heading2"/>
      </w:pPr>
      <w:r>
        <w:t>5.2 Radiopharmaceuticals</w:t>
      </w:r>
    </w:p>
    <w:p>
      <w:r>
        <w:rPr>
          <w:b/>
          <w:i/>
        </w:rPr>
        <w:t xml:space="preserve">Why this step matters: </w:t>
      </w:r>
      <w:r>
        <w:rPr>
          <w:i/>
        </w:rPr>
        <w:t>Skipping or rushing this step is exactly the kind of gap an assessor — or a real medication-safety incident — would eventually surface.</w:t>
      </w:r>
    </w:p>
    <w:p>
      <w:r>
        <w:t>1. Confirm the caregiver preparing or administering a radiopharmaceutical is authorised under applicable AERB regulations.</w:t>
      </w:r>
    </w:p>
    <w:p>
      <w:r>
        <w:t>2. Store and label radiopharmaceuticals per regulatory requirements, with radiation shielding appropriate to the isotope.</w:t>
      </w:r>
    </w:p>
    <w:p>
      <w:r>
        <w:rPr>
          <w:b/>
          <w:i/>
          <w:sz w:val="18"/>
        </w:rPr>
        <w:t xml:space="preserve">Technical source(s) for these steps: </w:t>
      </w:r>
    </w:p>
    <w:p>
      <w:pPr>
        <w:pStyle w:val="ListParagraph"/>
      </w:pPr>
      <w:hyperlink r:id="rId11">
        <w:r>
          <w:rPr>
            <w:color w:val="0563C1"/>
            <w:u w:val="single"/>
          </w:rPr>
          <w:t>Atomic Energy Regulatory Board, Government of India. (2011). Nuclear medicine facilities (Code No. AERB/RF-MED/SC-2, Rev. 2).</w:t>
        </w:r>
      </w:hyperlink>
    </w:p>
    <w:p>
      <w:pPr>
        <w:pStyle w:val="Heading2"/>
      </w:pPr>
      <w:r>
        <w:t>5.3 Disposal</w:t>
      </w:r>
    </w:p>
    <w:p>
      <w:r>
        <w:rPr>
          <w:b/>
          <w:i/>
        </w:rPr>
        <w:t xml:space="preserve">Why this step matters: </w:t>
      </w:r>
      <w:r>
        <w:rPr>
          <w:i/>
        </w:rPr>
        <w:t>Skipping or rushing this step is exactly the kind of gap an assessor — or a real medication-safety incident — would eventually surface.</w:t>
      </w:r>
    </w:p>
    <w:p>
      <w:r>
        <w:t>1. Dispose of chemotherapy and radiopharmaceutical waste per applicable statutory requirements, keeping the two waste streams separate.</w:t>
      </w:r>
    </w:p>
    <w:p>
      <w:r>
        <w:rPr>
          <w:b/>
          <w:i/>
          <w:sz w:val="18"/>
        </w:rPr>
        <w:t xml:space="preserve">Technical source(s) for these steps: </w:t>
      </w:r>
    </w:p>
    <w:p>
      <w:pPr>
        <w:pStyle w:val="ListParagraph"/>
      </w:pPr>
      <w:hyperlink r:id="rId9">
        <w:r>
          <w:rPr>
            <w:color w:val="0563C1"/>
            <w:u w:val="single"/>
          </w:rPr>
          <w:t>American Society of Health-System Pharmacists. (2018). ASHP guidelines on handling hazardous drugs. American Journal of Health-System Pharmacy.</w:t>
        </w:r>
      </w:hyperlink>
    </w:p>
    <w:p>
      <w:pPr>
        <w:pStyle w:val="ListParagraph"/>
      </w:pPr>
      <w:hyperlink r:id="rId11">
        <w:r>
          <w:rPr>
            <w:color w:val="0563C1"/>
            <w:u w:val="single"/>
          </w:rPr>
          <w:t>Atomic Energy Regulatory Board, Government of India. (2011). Nuclear medicine facilities (Code No. AERB/RF-MED/SC-2, Rev. 2).</w:t>
        </w:r>
      </w:hyperlink>
    </w:p>
    <w:p>
      <w:pPr>
        <w:pStyle w:val="Heading1"/>
      </w:pPr>
      <w:r>
        <w:t>6. Records</w:t>
      </w:r>
    </w:p>
    <w:p>
      <w:r>
        <w:t>Supported by Records 2, 4, and 6 of the MOM.9 Required Records pack.</w:t>
      </w:r>
    </w:p>
    <w:p>
      <w:pPr>
        <w:pStyle w:val="Heading1"/>
      </w:pPr>
      <w:r>
        <w:t>7. Related Documents</w:t>
      </w:r>
    </w:p>
    <w:p>
      <w:pPr>
        <w:pStyle w:val="ListParagraph"/>
      </w:pPr>
      <w:r>
        <w:t>Policy on Narcotics, Psychotropics, Chemotherapy and Radio-pharmaceuticals (HCO/MOM/POL/09) — MOM.9 policy</w:t>
      </w:r>
    </w:p>
    <w:p>
      <w:pPr>
        <w:pStyle w:val="ListParagraph"/>
      </w:pPr>
      <w:r>
        <w:t>SOP — Narcotic and Psychotropic Drug Handling (MOM.9)</w:t>
      </w:r>
    </w:p>
    <w:p>
      <w:pPr>
        <w:pStyle w:val="Heading1"/>
      </w:pPr>
      <w:r>
        <w:t>8. Where This SOP's Requirements Come From (Verified Sources)</w:t>
      </w:r>
    </w:p>
    <w:p>
      <w:pPr>
        <w:pStyle w:val="ListParagraph"/>
      </w:pPr>
      <w:hyperlink r:id="rId12">
        <w:r>
          <w:rPr>
            <w:color w:val="0563C1"/>
            <w:u w:val="single"/>
          </w:rPr>
          <w:t>NABH — Hospitals Accreditation Programme (HCO), 6th Edition standards</w:t>
        </w:r>
      </w:hyperlink>
    </w:p>
    <w:p>
      <w:pPr>
        <w:pStyle w:val="ListParagraph"/>
      </w:pPr>
      <w:hyperlink r:id="rId13">
        <w:r>
          <w:rPr>
            <w:color w:val="0563C1"/>
            <w:u w:val="single"/>
          </w:rPr>
          <w:t>NIOSH — List of Hazardous Drugs in Healthcare Settings, 2024</w:t>
        </w:r>
      </w:hyperlink>
    </w:p>
    <w:p>
      <w:pPr>
        <w:pStyle w:val="ListParagraph"/>
      </w:pPr>
      <w:hyperlink r:id="rId14">
        <w:r>
          <w:rPr>
            <w:color w:val="0563C1"/>
            <w:u w:val="single"/>
          </w:rPr>
          <w:t>Atomic Energy Regulatory Board, Government of India — Atomic Energy (Radiation Protection) Rules, 2004</w:t>
        </w:r>
      </w:hyperlink>
    </w:p>
    <w:p>
      <w:pPr>
        <w:pStyle w:val="Heading1"/>
      </w:pPr>
      <w:r>
        <w:t>9. Review</w:t>
      </w:r>
    </w:p>
    <w:p>
      <w:r>
        <w:t>Reviewed annually, and immediately after any chemotherapy spill or preparation-related exposure incident.</w:t>
      </w:r>
    </w:p>
    <w:sectPr w:rsidR="00FC693F" w:rsidRPr="0006063C" w:rsidSect="00034616">
      <w:pgSz w:w="12240" w:h="15840"/>
      <w:pgMar w:top="1280" w:right="1280" w:bottom="1280" w:left="12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ashp.org/-/media/assets/policy-guidelines/docs/guidelines/handling-hazardous-drugs.ashx" TargetMode="External"/><Relationship Id="rId10" Type="http://schemas.openxmlformats.org/officeDocument/2006/relationships/hyperlink" Target="https://www.cdc.gov/niosh/docs/2025-103/pdfs/2025-103.pdf" TargetMode="External"/><Relationship Id="rId11" Type="http://schemas.openxmlformats.org/officeDocument/2006/relationships/hyperlink" Target="https://www.aerb.gov.in/images/PDF/CodesGuides/RadiationFacility/MedicalApplicationsInvolvingRadiation/3.pdf" TargetMode="External"/><Relationship Id="rId12" Type="http://schemas.openxmlformats.org/officeDocument/2006/relationships/hyperlink" Target="https://nabh.co/programmes/hospitals-accreditation-programme-hco/" TargetMode="External"/><Relationship Id="rId13" Type="http://schemas.openxmlformats.org/officeDocument/2006/relationships/hyperlink" Target="https://www.cdc.gov/niosh/publications/hcp/numbered/2025-103.html" TargetMode="External"/><Relationship Id="rId14" Type="http://schemas.openxmlformats.org/officeDocument/2006/relationships/hyperlink" Target="https://www.aerb.gov.in/images/PDF/RPR2004-with-corrigendum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