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PRE.1.c — Staff awareness and conduct (CORE — non-negotiable)</w:t>
      </w:r>
    </w:p>
    <w:p>
      <w:r>
        <w:rPr>
          <w:b/>
          <w:sz w:val="30"/>
        </w:rPr>
        <w:t>PRE.1 Record 6 — Staff Training Record on Protecting Patient and Family Rights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Attendance proof that a staff member has actually been taught they are personally responsible for protecting patient rights — this is a training log, the same kind you'd keep for fire safety or hand hygiene training.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10-Jan-2026, staff name was “Anil Mehta”, department was “Nursing”, training type (induction/periodic) was “Induction”.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Rights written on paper mean nothing if the person standing at the bedside doesn't know it's their job to protect them. This is a CORE element — meaning NABH treats it as non-negotiable, not optional or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training session.</w:t>
      </w:r>
    </w:p>
    <w:p>
      <w:pPr>
        <w:pStyle w:val="ListParagraph"/>
      </w:pPr>
      <w:r>
        <w:rPr>
          <w:b/>
        </w:rPr>
        <w:t xml:space="preserve">Staff Name: </w:t>
      </w:r>
      <w:r>
        <w:t>Name of the staff member trained.</w:t>
      </w:r>
    </w:p>
    <w:p>
      <w:pPr>
        <w:pStyle w:val="ListParagraph"/>
      </w:pPr>
      <w:r>
        <w:rPr>
          <w:b/>
        </w:rPr>
        <w:t xml:space="preserve">Department: </w:t>
      </w:r>
      <w:r>
        <w:t>Their department.</w:t>
      </w:r>
    </w:p>
    <w:p>
      <w:pPr>
        <w:pStyle w:val="ListParagraph"/>
      </w:pPr>
      <w:r>
        <w:rPr>
          <w:b/>
        </w:rPr>
        <w:t xml:space="preserve">Training Type (Induction/Periodic): </w:t>
      </w:r>
      <w:r>
        <w:t>Whether this was their induction training or a periodic refresher.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Training Type (Induction/Periodic)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Anil Mehta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Induction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Rights Officer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