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PRE.2.d — Treating patient information as confidential (CORE — non-negotiable)</w:t>
      </w:r>
    </w:p>
    <w:p>
      <w:r>
        <w:rPr>
          <w:b/>
          <w:sz w:val="30"/>
        </w:rPr>
        <w:t>PRE.2 Record 9 — Written Confidentiality Guidelines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hospital's written rules on who can see or discuss a patient's information, including sensitive information like HIV status, and how privileged medical communication is protected by law.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01-Jan-2026, version was “v1.0”, approved by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Confidentiality breaches often happen casually — a hallway conversation, a visible chart — not maliciously. Written rules give staff a clear, consistent line not to cross.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Version.</w:t>
      </w:r>
    </w:p>
    <w:p>
      <w:pPr>
        <w:pStyle w:val="ListParagraph"/>
      </w:pPr>
      <w:r>
        <w:rPr>
          <w:b/>
        </w:rPr>
        <w:t xml:space="preserve">Date Approved: </w:t>
      </w:r>
      <w:r>
        <w:t>Date approved.</w:t>
      </w:r>
    </w:p>
    <w:p>
      <w:pPr>
        <w:pStyle w:val="ListParagraph"/>
      </w:pPr>
      <w:r>
        <w:rPr>
          <w:b/>
        </w:rPr>
        <w:t xml:space="preserve">Approved By: </w:t>
      </w:r>
      <w:r>
        <w:t>Approved by.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