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PRE.2.f — Supporting the right to a second opinion</w:t>
      </w:r>
    </w:p>
    <w:p>
      <w:r>
        <w:rPr>
          <w:b/>
          <w:sz w:val="30"/>
        </w:rPr>
        <w:t>PRE.2 Record 14 — Second-Opinion Facilitation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when a patient actually asked for a second opinion, the hospital genuinely helped — sharing reports, imaging, or a summary — rather than making it difficult.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25-Mar-2026, patient/uhid was “UHID 11500”, second opinion sought from was “External oncologist”, information/records shared was “Case summary, imaging CD”.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Supporting the right on paper (Record 13) means nothing if, in practice, the hospital drags its feet or withholds information when a patient actually exercises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Second Opinion Sought From: </w:t>
      </w:r>
      <w:r>
        <w:t>Who the second opinion was sought from.</w:t>
      </w:r>
    </w:p>
    <w:p>
      <w:pPr>
        <w:pStyle w:val="ListParagraph"/>
      </w:pPr>
      <w:r>
        <w:rPr>
          <w:b/>
        </w:rPr>
        <w:t xml:space="preserve">Information/Records Shared: </w:t>
      </w:r>
      <w:r>
        <w:t>What information/records were actually shared.</w:t>
      </w:r>
    </w:p>
    <w:p>
      <w:pPr>
        <w:pStyle w:val="ListParagraph"/>
      </w:pPr>
      <w:r>
        <w:rPr>
          <w:b/>
        </w:rPr>
        <w:t xml:space="preserve">Facilitated By: </w:t>
      </w:r>
      <w:r>
        <w:t>Who facilitated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Second Opinion Sought From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Information/Records Shared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Facilitated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25-Mar-2026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11500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External oncologist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Case summary, imaging CD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