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PRE.2.j — Giving patients access to their own clinical records</w:t>
      </w:r>
    </w:p>
    <w:p>
      <w:r>
        <w:rPr>
          <w:b/>
          <w:sz w:val="30"/>
        </w:rPr>
        <w:t>PRE.2 Record 22 — Record Access Provided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log of the actual times a patient was given access to their record, proving the procedure (Record 21) works in real life, not just on paper — tracking both when the request came in and when it was actually fulfilled, since a request and its provision can be days apart.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happens. The worked example below shows a real entry: request came in on 28-Mar-2026 for “UHID 11530”, and was actually provided two days later on 30-Mar-2026 — both dates recorded separately so the turnaround time is traceable, not just the fact that it eventually happened.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evidence an assessor will ask for — not the policy, but proof the policy was actually followed for a real patient, with the timeline to prove it wasn't delayed or ignored.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Requested: </w:t>
      </w:r>
      <w:r>
        <w:t>Date the request was received.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Records Requested: </w:t>
      </w:r>
      <w:r>
        <w:t>What records were requested.</w:t>
      </w:r>
    </w:p>
    <w:p>
      <w:pPr>
        <w:pStyle w:val="ListParagraph"/>
      </w:pPr>
      <w:r>
        <w:rPr>
          <w:b/>
        </w:rPr>
        <w:t xml:space="preserve">Requester (Patient/Authorised Representative): </w:t>
      </w:r>
      <w:r>
        <w:t>Who requested it — patient or their authorised representative.</w:t>
      </w:r>
    </w:p>
    <w:p>
      <w:pPr>
        <w:pStyle w:val="ListParagraph"/>
      </w:pPr>
      <w:r>
        <w:rPr>
          <w:b/>
        </w:rPr>
        <w:t xml:space="preserve">Date Provided: </w:t>
      </w:r>
      <w:r>
        <w:t>Date access was actually provided.</w:t>
      </w:r>
    </w:p>
    <w:p>
      <w:pPr>
        <w:pStyle w:val="ListParagraph"/>
      </w:pPr>
      <w:r>
        <w:rPr>
          <w:b/>
        </w:rPr>
        <w:t xml:space="preserve">Access Mode: </w:t>
      </w:r>
      <w:r>
        <w:t>How access was given (copy handed over, viewed on-site, etc.).</w:t>
      </w:r>
    </w:p>
    <w:p>
      <w:pPr>
        <w:pStyle w:val="ListParagraph"/>
      </w:pPr>
      <w:r>
        <w:rPr>
          <w:b/>
        </w:rPr>
        <w:t xml:space="preserve">Status: </w:t>
      </w:r>
      <w:r>
        <w:t>Status — completed, delayed, or refused.</w:t>
      </w:r>
    </w:p>
    <w:p>
      <w:pPr>
        <w:pStyle w:val="ListParagraph"/>
      </w:pPr>
      <w:r>
        <w:rPr>
          <w:b/>
        </w:rPr>
        <w:t xml:space="preserve">Delay/Refusal Reason (if any): </w:t>
      </w:r>
      <w:r>
        <w:t>If delayed or refused, the reason.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Records Requested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Requester (Patient/Authorised Representative)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Date Provided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Access Mode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1210"/>
            <w:shd w:val="clear" w:fill="D9E2F3"/>
          </w:tcPr>
          <w:p>
            <w:r/>
            <w:r>
              <w:rPr>
                <w:b/>
                <w:sz w:val="20"/>
              </w:rPr>
              <w:t>Delay/Refusal Reason (if any)</w:t>
            </w:r>
          </w:p>
        </w:tc>
      </w:tr>
      <w:tr>
        <w:tc>
          <w:tcPr>
            <w:tcW w:type="dxa" w:w="9680"/>
            <w:gridSpan w:val="8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28-Mar-2026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UHID 11530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Discharge summary copy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Patient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30-Mar-2026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Physical copy handed over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Completed</w:t>
            </w:r>
          </w:p>
        </w:tc>
        <w:tc>
          <w:tcPr>
            <w:tcW w:type="dxa" w:w="121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21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