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PRE.4.b — Following statutory norms in the consent process</w:t>
      </w:r>
    </w:p>
    <w:p>
      <w:r>
        <w:rPr>
          <w:b/>
          <w:sz w:val="30"/>
        </w:rPr>
        <w:t>PRE.4 Record 6 — Validity Period Documentation for Repeat Procedures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For treatments repeated many times over a long period — dialysis is the classic example — this record tracks how long the original consent stays valid before it must be renewed. That period cannot be longer than six months.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takes consent fills this in for a real patient at the time it's actually taken. The worked example below shows a real entry: on 01-Feb-2026, procedure was “Haemodialysis”, patient/uhid was “UHID 12210”, validity period was “6 months”.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Without a defined expiry, an old consent could silently be treated as covering treatment indefinitely, which isn't legally or ethically sound.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Procedure: </w:t>
      </w:r>
      <w:r>
        <w:t>Which procedure.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UHID.</w:t>
      </w:r>
    </w:p>
    <w:p>
      <w:pPr>
        <w:pStyle w:val="ListParagraph"/>
      </w:pPr>
      <w:r>
        <w:rPr>
          <w:b/>
        </w:rPr>
        <w:t xml:space="preserve">Initial Consent Date: </w:t>
      </w:r>
      <w:r>
        <w:t>Date of the original consent.</w:t>
      </w:r>
    </w:p>
    <w:p>
      <w:pPr>
        <w:pStyle w:val="ListParagraph"/>
      </w:pPr>
      <w:r>
        <w:rPr>
          <w:b/>
        </w:rPr>
        <w:t xml:space="preserve">Validity Period: </w:t>
      </w:r>
      <w:r>
        <w:t>The validity period set — must not exceed six months.</w:t>
      </w:r>
    </w:p>
    <w:p>
      <w:pPr>
        <w:pStyle w:val="ListParagraph"/>
      </w:pPr>
      <w:r>
        <w:rPr>
          <w:b/>
        </w:rPr>
        <w:t xml:space="preserve">Validity Expiry Date: </w:t>
      </w:r>
      <w:r>
        <w:t>The exact date that validity period runs out.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Procedure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Initial Consent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Validity Period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Validity Expiry Date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Haemodialysis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UHID 12210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01-Feb-2026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6 months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31-Jul-2026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