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PRE.4.b — Following statutory norms in the consent process</w:t>
      </w:r>
    </w:p>
    <w:p>
      <w:r>
        <w:rPr>
          <w:b/>
          <w:sz w:val="30"/>
        </w:rPr>
        <w:t>PRE.4 Record 7 — Patient Endorsement Record at Repeat Treatments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For a repeated treatment within its validity window, a quick confirmation that the patient still agrees at each session — a lighter-weight endorsement, not a whole new consent form each time.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03-Feb-2026, patient/uhid was “UHID 12210”, endorsement signed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proves ongoing consent, not a one-time signature assumed to cover every future session automatically.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of Session: </w:t>
      </w:r>
      <w:r>
        <w:t>Date of that specific session.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Endorsement Signed (Y/N): </w:t>
      </w:r>
      <w:r>
        <w:t>Whether they signed the endorsement — Y/N.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of Session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Endorsement Signed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03-Feb-2026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UHID 12210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