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PRE.4.e — The performer's personal responsibility for consent (CORE — non-negotiable)</w:t>
      </w:r>
    </w:p>
    <w:p>
      <w:r>
        <w:rPr>
          <w:b/>
          <w:sz w:val="30"/>
        </w:rPr>
        <w:t>PRE.4 Record 16 — Consent Form Review Audit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periodic spot-check of past consent forms specifically looking for the one mistake this rule exists to catch: a nurse or clerk taking consent alone while the doctor never actually explained anything.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practice. The worked example below shows a real entry: on 28-Feb-2026, forms reviewed was “20 consent forms (Feb)”, findings was “All compliant”, audited by was “Quality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audit is what would actually catch a systemic shortcut before an external assessor does.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of Audit: </w:t>
      </w:r>
      <w:r>
        <w:t>Date of the audit.</w:t>
      </w:r>
    </w:p>
    <w:p>
      <w:pPr>
        <w:pStyle w:val="ListParagraph"/>
      </w:pPr>
      <w:r>
        <w:rPr>
          <w:b/>
        </w:rPr>
        <w:t xml:space="preserve">Forms Reviewed: </w:t>
      </w:r>
      <w:r>
        <w:t>How many forms were reviewed.</w:t>
      </w:r>
    </w:p>
    <w:p>
      <w:pPr>
        <w:pStyle w:val="ListParagraph"/>
      </w:pPr>
      <w:r>
        <w:rPr>
          <w:b/>
        </w:rPr>
        <w:t xml:space="preserve">Findings: </w:t>
      </w:r>
      <w:r>
        <w:t>What was found.</w:t>
      </w:r>
    </w:p>
    <w:p>
      <w:pPr>
        <w:pStyle w:val="ListParagraph"/>
      </w:pPr>
      <w:r>
        <w:rPr>
          <w:b/>
        </w:rPr>
        <w:t xml:space="preserve">Audited By: </w:t>
      </w:r>
      <w:r>
        <w:t>Who did the audit.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of Audit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Forms Reviewed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Findings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Audited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28-Feb-2026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20 consent forms (Feb)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All compliant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