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PRE.5.b — Medication safety education</w:t>
      </w:r>
    </w:p>
    <w:p>
      <w:r>
        <w:rPr>
          <w:b/>
          <w:sz w:val="30"/>
        </w:rPr>
        <w:t>PRE.5 Record 2 — Written Drug-Education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short list the pharmacy keeps of drugs important enough that every patient prescribed them must be specifically educated about safe use and side effects — for example digoxin, where timing matters.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counsellor adds a new row right after a real session with real staff or a real patient actually takes place. The worked example below shows a real entry: on 01-Jan-2026, drug/class was “Digoxin”, approved by was “Pharmacy In-charge”.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Not every drug needs a special conversation, but the ones on this list do — without naming them, education on these specific risks can be skipped without anyone noticing.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Drug/Class: </w:t>
      </w:r>
      <w:r>
        <w:t>Drug or drug class name.</w:t>
      </w:r>
    </w:p>
    <w:p>
      <w:pPr>
        <w:pStyle w:val="ListParagraph"/>
      </w:pPr>
      <w:r>
        <w:rPr>
          <w:b/>
        </w:rPr>
        <w:t xml:space="preserve">Date Added: </w:t>
      </w:r>
      <w:r>
        <w:t>Date it was added to the list.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adding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Drug/Class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Added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Digoxin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Pharmacy In-charge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