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PRE.5.b — Medication safety education</w:t>
      </w:r>
    </w:p>
    <w:p>
      <w:r>
        <w:rPr>
          <w:b/>
          <w:sz w:val="30"/>
        </w:rPr>
        <w:t>PRE.5 Record 3 — Medication Safety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showing that when a listed drug was actually prescribed, the patient was actually counselled on its purpose, how to take it safely, and its potential side effects — three separate things, proving the list in Record 2 gets acted on with real content, not just a one-line 'counselled' tick.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04-Jan-2026, patient/uhid was “UHID 13010”, drug was “Digoxin”, with its purpose, safe-use instructions, side effects and precautions each recorded as their own item, not folded into one 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follow-through record — the list alone proves nothing if no patient was ever actually counselled, and a single free-text field inviting 'what specifically was explained' can be filled with only a timing note while side effects are never mentioned at all. NABH expects purpose, safe/effective use, and side effects each to be genuinely covered.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Drug: </w:t>
      </w:r>
      <w:r>
        <w:t>The drug.</w:t>
      </w:r>
    </w:p>
    <w:p>
      <w:pPr>
        <w:pStyle w:val="ListParagraph"/>
      </w:pPr>
      <w:r>
        <w:rPr>
          <w:b/>
        </w:rPr>
        <w:t xml:space="preserve">Purpose: </w:t>
      </w:r>
      <w:r>
        <w:t>Purpose of the drug, in plain terms.</w:t>
      </w:r>
    </w:p>
    <w:p>
      <w:pPr>
        <w:pStyle w:val="ListParagraph"/>
      </w:pPr>
      <w:r>
        <w:rPr>
          <w:b/>
        </w:rPr>
        <w:t xml:space="preserve">Safe Use (How/When to Take): </w:t>
      </w:r>
      <w:r>
        <w:t>How and when to take it safely.</w:t>
      </w:r>
    </w:p>
    <w:p>
      <w:pPr>
        <w:pStyle w:val="ListParagraph"/>
      </w:pPr>
      <w:r>
        <w:rPr>
          <w:b/>
        </w:rPr>
        <w:t xml:space="preserve">Side Effects Explained: </w:t>
      </w:r>
      <w:r>
        <w:t>Side effects explained to the patient.</w:t>
      </w:r>
    </w:p>
    <w:p>
      <w:pPr>
        <w:pStyle w:val="ListParagraph"/>
      </w:pPr>
      <w:r>
        <w:rPr>
          <w:b/>
        </w:rPr>
        <w:t xml:space="preserve">Precautions: </w:t>
      </w:r>
      <w:r>
        <w:t>Precautions (e.g. what to avoid, when to call the doctor).</w:t>
      </w:r>
    </w:p>
    <w:p>
      <w:pPr>
        <w:pStyle w:val="ListParagraph"/>
      </w:pPr>
      <w:r>
        <w:rPr>
          <w:b/>
        </w:rPr>
        <w:t xml:space="preserve">Counsellor: </w:t>
      </w:r>
      <w:r>
        <w:t>Who counselled.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Drug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Safe Use (How/When to Take)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Side Effects Explained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Precautions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Counsellor</w:t>
            </w:r>
          </w:p>
        </w:tc>
      </w:tr>
      <w:tr>
        <w:tc>
          <w:tcPr>
            <w:tcW w:type="dxa" w:w="9680"/>
            <w:gridSpan w:val="8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04-Jan-2026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UHID 13010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Digoxin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Regulates heart rhythm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Same time daily, morning, with or without food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Nausea, visual disturbances, slow pulse — report if pulse &lt;60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Do not double-dose if a tablet is missed; avoid over-the-counter cold remedies without checking first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Ward Pharmacist</w:t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