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PRE.7.b — Capturing patient experience</w:t>
      </w:r>
    </w:p>
    <w:p>
      <w:r>
        <w:rPr>
          <w:b/>
          <w:sz w:val="30"/>
        </w:rPr>
        <w:t>PRE.7 Record 4 — Patient Experience Capture Tool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separate, more detailed tool from the basic satisfaction form — this one covers specific dimensions of the patient's experience: communication with staff, pain management, cleanliness/quietness, staff responsiveness, discharge information, and medication communication.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version was “v1.0”, parameters covered was “Communication, pain mgmt, environment, responsiveness, discharge info, medication, overall rating”.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'Satisfied' is too vague to act on — knowing specifically that discharge information scored low, for example, tells you exactly what to fix.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Parameters Covered: </w:t>
      </w:r>
      <w:r>
        <w:t>Which parameters it actually covers.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Parameters Covered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Communication, pain mgmt, environment, responsiveness, discharge info, medication, overall rating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