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PRE.7.c — Complaint redressal mechanism (starred CORE — written evidence required, non-negotiable)</w:t>
      </w:r>
    </w:p>
    <w:p>
      <w:r>
        <w:rPr>
          <w:b/>
          <w:sz w:val="30"/>
        </w:rPr>
        <w:t>PRE.7 Record 9 — Documented Action Record for Sampled Complaints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a specific logged complaint actually led to a real resolution, not just an entry that sat in the log unaddressed.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handling the case fills in a new row the moment a real concern is actually raised. The worked example below shows a real entry: on 20-Jan-2026, complaint ref (log #) was “Log #08-2026”, responsible person was “OPD In-charge” — so action taken was “Additional OPD counter opened at peak hours”.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record that separates a genuine complaint mechanism from a complaint box that just collects dust.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Complaint Ref (Log #): </w:t>
      </w:r>
      <w:r>
        <w:t>Which complaint this relates to (reference the log entry).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done.</w:t>
      </w:r>
    </w:p>
    <w:p>
      <w:pPr>
        <w:pStyle w:val="ListParagraph"/>
      </w:pPr>
      <w:r>
        <w:rPr>
          <w:b/>
        </w:rPr>
        <w:t xml:space="preserve">Responsible Person: </w:t>
      </w:r>
      <w:r>
        <w:t>Who was responsible.</w:t>
      </w:r>
    </w:p>
    <w:p>
      <w:pPr>
        <w:pStyle w:val="ListParagraph"/>
      </w:pPr>
      <w:r>
        <w:rPr>
          <w:b/>
        </w:rPr>
        <w:t xml:space="preserve">Closure Date: </w:t>
      </w:r>
      <w:r>
        <w:t>When it was closed.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Complaint Ref (Log #)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Responsible Person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Closure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Log #08-2026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Additional OPD counter opened at peak hours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OPD In-charge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