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PRE.8.c — Delivering enhanced communication (starred — written evidence required)</w:t>
      </w:r>
    </w:p>
    <w:p>
      <w:r>
        <w:rPr>
          <w:b/>
          <w:sz w:val="30"/>
        </w:rPr>
        <w:t>PRE.8 Record 7 — Detailed Description of the Enhanced Communication Model per Special Situation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For each situation on Record 4's list, this spells out exactly what approach or model staff should actually use — for example, SPIKES for breaking bad news (Setting, Perception, Invitation, Knowledge, Empathy, Summarize).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01-Jan-2026, special situation was “Breaking bad news”, model/approach adopted was “SPIKES”.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'Handle it carefully' isn't concrete enough to train or check against — a named model gives staff an actual structure to follow under pressure.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Special Situation: </w:t>
      </w:r>
      <w:r>
        <w:t>Which special situation.</w:t>
      </w:r>
    </w:p>
    <w:p>
      <w:pPr>
        <w:pStyle w:val="ListParagraph"/>
      </w:pPr>
      <w:r>
        <w:rPr>
          <w:b/>
        </w:rPr>
        <w:t xml:space="preserve">Model/Approach Adopted: </w:t>
      </w:r>
      <w:r>
        <w:t>Which model/approach was adopted for it.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Special Situation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Model/Approach Adopted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Breaking bad news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SPIKES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