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PSQ.2 — Quality Improvement Manual</w:t>
      </w:r>
    </w:p>
    <w:p>
      <w:r>
        <w:rPr>
          <w:b/>
          <w:sz w:val="30"/>
        </w:rPr>
        <w:t>PSQ.2 Record 6 — Quality Improvement Manual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“Area-specific quality assurance summaries for Laboratory, Imaging, Emergency, Blood Centre, Operation Theatre and Intensive Care Unit(s).” — the specific evidence element Quality Improvement Manual of this policy asks for. Every time this activity actually happens, whoever did it adds one new row below with: Area/Department, Quality Parameter, Period, Result, Target/Benchmark, Finding, Improvement Action, Responsible Person, Review Date, Reference/Evidence.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Coordinator uses this record whenever the Quality Improvement Manual (or an area-specific quality summary) is issued or updated. The worked example below shows a real entry: on Q1 2026, area/department was “Laboratory”, quality parameter was “Turnaround time — routine biochemistry”, result was “62 minutes average” — so improvement action was “Additional courier run added at peak OPD hours”.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Without one current, complete manual, every department ends up improvising its own version of the quality programme — this record proves a single up-to-date manual actually exists, covering every required element down to area-specific summaries for high-risk services like the OT and ICU. NABH checks this as part of how a genuine patient-safety and quality programme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Area/Department: </w:t>
      </w:r>
      <w:r>
        <w:t>The specific area this summary covers — Laboratory, Imaging, Emergency, Blood Centre, OT or ICU. One row per area per period, not one row for all of them.</w:t>
      </w:r>
    </w:p>
    <w:p>
      <w:pPr>
        <w:pStyle w:val="ListParagraph"/>
      </w:pPr>
      <w:r>
        <w:rPr>
          <w:b/>
        </w:rPr>
        <w:t xml:space="preserve">Quality Parameter: </w:t>
      </w:r>
      <w:r>
        <w:t>The actual quality parameter tracked for this area — name the real one, not 'quality.'</w:t>
      </w:r>
    </w:p>
    <w:p>
      <w:pPr>
        <w:pStyle w:val="ListParagraph"/>
      </w:pPr>
      <w:r>
        <w:rPr>
          <w:b/>
        </w:rPr>
        <w:t xml:space="preserve">Period: </w:t>
      </w:r>
      <w:r>
        <w:t>The real period this summary covers.</w:t>
      </w:r>
    </w:p>
    <w:p>
      <w:pPr>
        <w:pStyle w:val="ListParagraph"/>
      </w:pPr>
      <w:r>
        <w:rPr>
          <w:b/>
        </w:rPr>
        <w:t xml:space="preserve">Result: </w:t>
      </w:r>
      <w:r>
        <w:t>The actual result for the period — a real number, not 'satisfactory.'</w:t>
      </w:r>
    </w:p>
    <w:p>
      <w:pPr>
        <w:pStyle w:val="ListParagraph"/>
      </w:pPr>
      <w:r>
        <w:rPr>
          <w:b/>
        </w:rPr>
        <w:t xml:space="preserve">Target/Benchmark: </w:t>
      </w:r>
      <w:r>
        <w:t>The target or benchmark this was measured against.</w:t>
      </w:r>
    </w:p>
    <w:p>
      <w:pPr>
        <w:pStyle w:val="ListParagraph"/>
      </w:pPr>
      <w:r>
        <w:rPr>
          <w:b/>
        </w:rPr>
        <w:t xml:space="preserve">Finding: </w:t>
      </w:r>
      <w:r>
        <w:t>What was actually found — say plainly if the target was missed and why.</w:t>
      </w:r>
    </w:p>
    <w:p>
      <w:pPr>
        <w:pStyle w:val="ListParagraph"/>
      </w:pPr>
      <w:r>
        <w:rPr>
          <w:b/>
        </w:rPr>
        <w:t xml:space="preserve">Improvement Action: </w:t>
      </w:r>
      <w:r>
        <w:t>What is actually being done to improve, if the target was missed.</w:t>
      </w:r>
    </w:p>
    <w:p>
      <w:pPr>
        <w:pStyle w:val="ListParagraph"/>
      </w:pPr>
      <w:r>
        <w:rPr>
          <w:b/>
        </w:rPr>
        <w:t xml:space="preserve">Responsible Person: </w:t>
      </w:r>
      <w:r>
        <w:t>Who is accountable for this area's summary.</w:t>
      </w:r>
    </w:p>
    <w:p>
      <w:pPr>
        <w:pStyle w:val="ListParagraph"/>
      </w:pPr>
      <w:r>
        <w:rPr>
          <w:b/>
        </w:rPr>
        <w:t xml:space="preserve">Review Date: </w:t>
      </w:r>
      <w:r>
        <w:t>The date this summary was actually reviewed.</w:t>
      </w:r>
    </w:p>
    <w:p>
      <w:pPr>
        <w:pStyle w:val="ListParagraph"/>
      </w:pPr>
      <w:r>
        <w:rPr>
          <w:b/>
        </w:rPr>
        <w:t xml:space="preserve">Reference/Evidence: </w:t>
      </w:r>
      <w:r>
        <w:t>Where the underlying data actually lives — name the log/register, so this can be checked.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"/>
        <w:gridCol w:w="968"/>
        <w:gridCol w:w="968"/>
        <w:gridCol w:w="968"/>
        <w:gridCol w:w="968"/>
        <w:gridCol w:w="968"/>
        <w:gridCol w:w="968"/>
        <w:gridCol w:w="968"/>
        <w:gridCol w:w="968"/>
        <w:gridCol w:w="968"/>
      </w:tblGrid>
      <w:tr>
        <w:tc>
          <w:tcPr>
            <w:tcW w:type="dxa" w:w="968"/>
            <w:shd w:val="clear" w:fill="D9E2F3"/>
          </w:tcPr>
          <w:p>
            <w:r/>
            <w:r>
              <w:rPr>
                <w:b/>
                <w:sz w:val="20"/>
              </w:rPr>
              <w:t>Area/Department</w:t>
            </w:r>
          </w:p>
        </w:tc>
        <w:tc>
          <w:tcPr>
            <w:tcW w:type="dxa" w:w="968"/>
            <w:shd w:val="clear" w:fill="D9E2F3"/>
          </w:tcPr>
          <w:p>
            <w:r/>
            <w:r>
              <w:rPr>
                <w:b/>
                <w:sz w:val="20"/>
              </w:rPr>
              <w:t>Quality Parameter</w:t>
            </w:r>
          </w:p>
        </w:tc>
        <w:tc>
          <w:tcPr>
            <w:tcW w:type="dxa" w:w="968"/>
            <w:shd w:val="clear" w:fill="D9E2F3"/>
          </w:tcPr>
          <w:p>
            <w:r/>
            <w:r>
              <w:rPr>
                <w:b/>
                <w:sz w:val="20"/>
              </w:rPr>
              <w:t>Period</w:t>
            </w:r>
          </w:p>
        </w:tc>
        <w:tc>
          <w:tcPr>
            <w:tcW w:type="dxa" w:w="968"/>
            <w:shd w:val="clear" w:fill="D9E2F3"/>
          </w:tcPr>
          <w:p>
            <w:r/>
            <w:r>
              <w:rPr>
                <w:b/>
                <w:sz w:val="20"/>
              </w:rPr>
              <w:t>Result</w:t>
            </w:r>
          </w:p>
        </w:tc>
        <w:tc>
          <w:tcPr>
            <w:tcW w:type="dxa" w:w="968"/>
            <w:shd w:val="clear" w:fill="D9E2F3"/>
          </w:tcPr>
          <w:p>
            <w:r/>
            <w:r>
              <w:rPr>
                <w:b/>
                <w:sz w:val="20"/>
              </w:rPr>
              <w:t>Target/Benchmark</w:t>
            </w:r>
          </w:p>
        </w:tc>
        <w:tc>
          <w:tcPr>
            <w:tcW w:type="dxa" w:w="968"/>
            <w:shd w:val="clear" w:fill="D9E2F3"/>
          </w:tcPr>
          <w:p>
            <w:r/>
            <w:r>
              <w:rPr>
                <w:b/>
                <w:sz w:val="20"/>
              </w:rPr>
              <w:t>Finding</w:t>
            </w:r>
          </w:p>
        </w:tc>
        <w:tc>
          <w:tcPr>
            <w:tcW w:type="dxa" w:w="968"/>
            <w:shd w:val="clear" w:fill="D9E2F3"/>
          </w:tcPr>
          <w:p>
            <w:r/>
            <w:r>
              <w:rPr>
                <w:b/>
                <w:sz w:val="20"/>
              </w:rPr>
              <w:t>Improvement Action</w:t>
            </w:r>
          </w:p>
        </w:tc>
        <w:tc>
          <w:tcPr>
            <w:tcW w:type="dxa" w:w="968"/>
            <w:shd w:val="clear" w:fill="D9E2F3"/>
          </w:tcPr>
          <w:p>
            <w:r/>
            <w:r>
              <w:rPr>
                <w:b/>
                <w:sz w:val="20"/>
              </w:rPr>
              <w:t>Responsible Person</w:t>
            </w:r>
          </w:p>
        </w:tc>
        <w:tc>
          <w:tcPr>
            <w:tcW w:type="dxa" w:w="968"/>
            <w:shd w:val="clear" w:fill="D9E2F3"/>
          </w:tcPr>
          <w:p>
            <w:r/>
            <w:r>
              <w:rPr>
                <w:b/>
                <w:sz w:val="20"/>
              </w:rPr>
              <w:t>Review Date</w:t>
            </w:r>
          </w:p>
        </w:tc>
        <w:tc>
          <w:tcPr>
            <w:tcW w:type="dxa" w:w="968"/>
            <w:shd w:val="clear" w:fill="D9E2F3"/>
          </w:tcPr>
          <w:p>
            <w:r/>
            <w:r>
              <w:rPr>
                <w:b/>
                <w:sz w:val="20"/>
              </w:rPr>
              <w:t>Reference/Evidence</w:t>
            </w:r>
          </w:p>
        </w:tc>
      </w:tr>
      <w:tr>
        <w:tc>
          <w:tcPr>
            <w:tcW w:type="dxa" w:w="9680"/>
            <w:gridSpan w:val="10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968"/>
            <w:shd w:val="clear" w:fill="FFF2CC"/>
          </w:tcPr>
          <w:p>
            <w:r/>
            <w:r>
              <w:rPr>
                <w:b w:val="0"/>
                <w:sz w:val="20"/>
              </w:rPr>
              <w:t>Laboratory</w:t>
            </w:r>
          </w:p>
        </w:tc>
        <w:tc>
          <w:tcPr>
            <w:tcW w:type="dxa" w:w="968"/>
            <w:shd w:val="clear" w:fill="FFF2CC"/>
          </w:tcPr>
          <w:p>
            <w:r/>
            <w:r>
              <w:rPr>
                <w:b w:val="0"/>
                <w:sz w:val="20"/>
              </w:rPr>
              <w:t>Turnaround time — routine biochemistry</w:t>
            </w:r>
          </w:p>
        </w:tc>
        <w:tc>
          <w:tcPr>
            <w:tcW w:type="dxa" w:w="968"/>
            <w:shd w:val="clear" w:fill="FFF2CC"/>
          </w:tcPr>
          <w:p>
            <w:r/>
            <w:r>
              <w:rPr>
                <w:b w:val="0"/>
                <w:sz w:val="20"/>
              </w:rPr>
              <w:t>Q1 2026</w:t>
            </w:r>
          </w:p>
        </w:tc>
        <w:tc>
          <w:tcPr>
            <w:tcW w:type="dxa" w:w="968"/>
            <w:shd w:val="clear" w:fill="FFF2CC"/>
          </w:tcPr>
          <w:p>
            <w:r/>
            <w:r>
              <w:rPr>
                <w:b w:val="0"/>
                <w:sz w:val="20"/>
              </w:rPr>
              <w:t>62 minutes average</w:t>
            </w:r>
          </w:p>
        </w:tc>
        <w:tc>
          <w:tcPr>
            <w:tcW w:type="dxa" w:w="968"/>
            <w:shd w:val="clear" w:fill="FFF2CC"/>
          </w:tcPr>
          <w:p>
            <w:r/>
            <w:r>
              <w:rPr>
                <w:b w:val="0"/>
                <w:sz w:val="20"/>
              </w:rPr>
              <w:t>60 minutes</w:t>
            </w:r>
          </w:p>
        </w:tc>
        <w:tc>
          <w:tcPr>
            <w:tcW w:type="dxa" w:w="968"/>
            <w:shd w:val="clear" w:fill="FFF2CC"/>
          </w:tcPr>
          <w:p>
            <w:r/>
            <w:r>
              <w:rPr>
                <w:b w:val="0"/>
                <w:sz w:val="20"/>
              </w:rPr>
              <w:t>Marginally above target, driven by sample-transport delay from OPD</w:t>
            </w:r>
          </w:p>
        </w:tc>
        <w:tc>
          <w:tcPr>
            <w:tcW w:type="dxa" w:w="968"/>
            <w:shd w:val="clear" w:fill="FFF2CC"/>
          </w:tcPr>
          <w:p>
            <w:r/>
            <w:r>
              <w:rPr>
                <w:b w:val="0"/>
                <w:sz w:val="20"/>
              </w:rPr>
              <w:t>Additional courier run added at peak OPD hours</w:t>
            </w:r>
          </w:p>
        </w:tc>
        <w:tc>
          <w:tcPr>
            <w:tcW w:type="dxa" w:w="968"/>
            <w:shd w:val="clear" w:fill="FFF2CC"/>
          </w:tcPr>
          <w:p>
            <w:r/>
            <w:r>
              <w:rPr>
                <w:b w:val="0"/>
                <w:sz w:val="20"/>
              </w:rPr>
              <w:t>Lab In-Charge</w:t>
            </w:r>
          </w:p>
        </w:tc>
        <w:tc>
          <w:tcPr>
            <w:tcW w:type="dxa" w:w="968"/>
            <w:shd w:val="clear" w:fill="FFF2CC"/>
          </w:tcPr>
          <w:p>
            <w:r/>
            <w:r>
              <w:rPr>
                <w:b w:val="0"/>
                <w:sz w:val="20"/>
              </w:rPr>
              <w:t>10-Apr-2026</w:t>
            </w:r>
          </w:p>
        </w:tc>
        <w:tc>
          <w:tcPr>
            <w:tcW w:type="dxa" w:w="968"/>
            <w:shd w:val="clear" w:fill="FFF2CC"/>
          </w:tcPr>
          <w:p>
            <w:r/>
            <w:r>
              <w:rPr>
                <w:b w:val="0"/>
                <w:sz w:val="20"/>
              </w:rPr>
              <w:t>Lab TAT log, Jan-Mar 2026</w:t>
            </w:r>
          </w:p>
        </w:tc>
      </w:tr>
      <w:tr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968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