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24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“Completed audit covering all applicable standards and objective elements.” — the specific evidence element Internal audit of this policy asks for. Every time this activity actually happens, whoever did it adds one new row below with: Area/Department, Standards/Objective Elements Covered, Date Completed, Auditor(s).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20-Mar-2026, area/department was “Pharmacy”, standards/objective elements covered was “MOM.1 through MOM.11, all applicable objective elements”, auditor(s) was “Quality Coordinator + trained staff auditor (independent of Pharmacy)”.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Area/Department: </w:t>
      </w:r>
      <w:r>
        <w:t>The area actually audited.</w:t>
      </w:r>
    </w:p>
    <w:p>
      <w:pPr>
        <w:pStyle w:val="ListParagraph"/>
      </w:pPr>
      <w:r>
        <w:rPr>
          <w:b/>
        </w:rPr>
        <w:t xml:space="preserve">Standards/Objective Elements Covered: </w:t>
      </w:r>
      <w:r>
        <w:t>Confirm every applicable standard/objective element was actually covered — not a partial check.</w:t>
      </w:r>
    </w:p>
    <w:p>
      <w:pPr>
        <w:pStyle w:val="ListParagraph"/>
      </w:pPr>
      <w:r>
        <w:rPr>
          <w:b/>
        </w:rPr>
        <w:t xml:space="preserve">Date Completed: </w:t>
      </w:r>
      <w:r>
        <w:t>The date the audit was actually completed.</w:t>
      </w:r>
    </w:p>
    <w:p>
      <w:pPr>
        <w:pStyle w:val="ListParagraph"/>
      </w:pPr>
      <w:r>
        <w:rPr>
          <w:b/>
        </w:rPr>
        <w:t xml:space="preserve">Auditor(s): </w:t>
      </w:r>
      <w:r>
        <w:t>Who did it — must be trained in NABH standards and independent of the area being audited.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Area/Department</w:t>
            </w:r>
          </w:p>
        </w:tc>
        <w:tc>
          <w:tcPr>
            <w:tcW w:type="dxa" w:w="2420"/>
            <w:shd w:val="clear" w:fill="D9E2F3"/>
          </w:tcPr>
          <w:p>
            <w:r/>
            <w:r>
              <w:rPr>
                <w:b/>
                <w:sz w:val="20"/>
              </w:rPr>
              <w:t>Standards/Objective Elements Covered</w:t>
            </w:r>
          </w:p>
        </w:tc>
        <w:tc>
          <w:tcPr>
            <w:tcW w:type="dxa" w:w="2420"/>
            <w:shd w:val="clear" w:fill="D9E2F3"/>
          </w:tcPr>
          <w:p>
            <w:r/>
            <w:r>
              <w:rPr>
                <w:b/>
                <w:sz w:val="20"/>
              </w:rPr>
              <w:t>Date Completed</w:t>
            </w:r>
          </w:p>
        </w:tc>
        <w:tc>
          <w:tcPr>
            <w:tcW w:type="dxa" w:w="2420"/>
            <w:shd w:val="clear" w:fill="D9E2F3"/>
          </w:tcPr>
          <w:p>
            <w:r/>
            <w:r>
              <w:rPr>
                <w:b/>
                <w:sz w:val="20"/>
              </w:rPr>
              <w:t>Auditor(s)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Pharmacy</w:t>
            </w:r>
          </w:p>
        </w:tc>
        <w:tc>
          <w:tcPr>
            <w:tcW w:type="dxa" w:w="2420"/>
            <w:shd w:val="clear" w:fill="FFF2CC"/>
          </w:tcPr>
          <w:p>
            <w:r/>
            <w:r>
              <w:rPr>
                <w:b w:val="0"/>
                <w:sz w:val="20"/>
              </w:rPr>
              <w:t>MOM.1 through MOM.11, all applicable objective elements</w:t>
            </w:r>
          </w:p>
        </w:tc>
        <w:tc>
          <w:tcPr>
            <w:tcW w:type="dxa" w:w="2420"/>
            <w:shd w:val="clear" w:fill="FFF2CC"/>
          </w:tcPr>
          <w:p>
            <w:r/>
            <w:r>
              <w:rPr>
                <w:b w:val="0"/>
                <w:sz w:val="20"/>
              </w:rPr>
              <w:t>20-Mar-2026</w:t>
            </w:r>
          </w:p>
        </w:tc>
        <w:tc>
          <w:tcPr>
            <w:tcW w:type="dxa" w:w="2420"/>
            <w:shd w:val="clear" w:fill="FFF2CC"/>
          </w:tcPr>
          <w:p>
            <w:r/>
            <w:r>
              <w:rPr>
                <w:b w:val="0"/>
                <w:sz w:val="20"/>
              </w:rPr>
              <w:t>Quality Coordinator + trained staff auditor (independent of Pharmacy)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