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Nursing-care quality</w:t>
      </w:r>
    </w:p>
    <w:p>
      <w:r>
        <w:rPr>
          <w:b/>
          <w:sz w:val="30"/>
        </w:rPr>
        <w:t>PSQ.2 Record 30 — Nursing-care quality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“Identified nursing-care quality indicators integrated with the quality improvement programme.” — the specific evidence element Nursing-care quality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Nursing Superintendent uses this record whenever nursing-care quality is monitored, audited, or a nurse's competency is formally evaluated. The worked example below shows a real entry: on Jan-2026, indicator name was “Pressure-ulcer incidence rate”, numerator was “Number of new hospital-acquired pressure ulcers”, denominator was “Number of patient-days” — so result was “0.6”.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Nursing care is a huge share of what happens to a patient, but it's easy to monitor only medical indicators and miss it — this record proves there's a real process for measuring nursing-care quality, including checking that staff can actually demonstrate the competencies they're assumed to have.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Pressure-ulcer incidence rate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new hospital-acquired pressure ulcers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× 1000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Nursing quality audit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0.6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&lt;1.0 per 1000 patient-days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