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Audit documentation</w:t>
      </w:r>
    </w:p>
    <w:p>
      <w:r>
        <w:rPr>
          <w:b/>
          <w:sz w:val="30"/>
        </w:rPr>
        <w:t>PSQ.5 Record 10 — Audit documentation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“Checklist or other audit finding record where the organisation has chosen to use one.” — the specific evidence element Audit documentation of this policy asks for. Every time this activity actually happens, whoever did it adds one new row below with: Audit Title, Date Completed, Key Findings, Prepared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audit team uses this record immediately after completing a clinical audit, to log the findings. The worked example below shows a real entry: on 10-Apr-2026, audit title was “Post-op wound infection audit”, key findings was “Infection rate 4.2%, above internal target of 3%”, prepared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with no written findings leaves nothing for anyone to act on later — this record proves a real post-audit report (or checklist) actually exists, capturing what was actually found.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Title: </w:t>
      </w:r>
      <w:r>
        <w:t>Which audit this report is for.</w:t>
      </w:r>
    </w:p>
    <w:p>
      <w:pPr>
        <w:pStyle w:val="ListParagraph"/>
      </w:pPr>
      <w:r>
        <w:rPr>
          <w:b/>
        </w:rPr>
        <w:t xml:space="preserve">Date Completed: </w:t>
      </w:r>
      <w:r>
        <w:t>The date the audit was completed.</w:t>
      </w:r>
    </w:p>
    <w:p>
      <w:pPr>
        <w:pStyle w:val="ListParagraph"/>
      </w:pPr>
      <w:r>
        <w:rPr>
          <w:b/>
        </w:rPr>
        <w:t xml:space="preserve">Key Findings: </w:t>
      </w:r>
      <w:r>
        <w:t>The actual findings, in plain words with numbers where possible.</w:t>
      </w:r>
    </w:p>
    <w:p>
      <w:pPr>
        <w:pStyle w:val="ListParagraph"/>
      </w:pPr>
      <w:r>
        <w:rPr>
          <w:b/>
        </w:rPr>
        <w:t xml:space="preserve">Prepared By: </w:t>
      </w:r>
      <w:r>
        <w:t>Who wrote the report.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Audit Title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Key Findings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Infection rate 4.2%, above internal target of 3%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