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Incident analysis and response</w:t>
      </w:r>
    </w:p>
    <w:p>
      <w:r>
        <w:rPr>
          <w:b/>
          <w:sz w:val="30"/>
        </w:rPr>
        <w:t>PSQ.7 Record 11 — Incident analysis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“Records of immediate care and support provided after safety incidents without waiting for analysis.” — the specific evidence element Incident analysis and response of this policy asks for. Every time this activity actually happens, whoever did it adds one new row below with: Date, Incident Reference, Immediate Care/Support Provided, Provided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it analyses a reported incident — including giving immediate care to those affected, and meeting the strict sentinel-event timelines. The worked example below shows a real entry: on 12-Feb-2026, incident reference was “Near-miss log entry”, immediate care/support provided was “Patient reassured; extra monitoring for 4 hours”, provided by was “Duty Nurse”.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incident that's reported but never properly analysed teaches the hospital nothing — this record proves the safety committee actually took responsibility for analysis, gave immediate care to whoever was affected without waiting for the analysis to finish, met the strict timelines for sentinel events (correction started within 24 hours, analysis completed within 7 working days), and — where used — ran a real root-cause analysis with input from the units involved and, where relevant, the patient or family. NABH checks this as part of how a genuine patient-safety and quality programme actually runs.</w:t>
            </w:r>
          </w:p>
        </w:tc>
      </w:tr>
    </w:tbl>
    <w:p/>
    <w:p>
      <w:r>
        <w:rPr>
          <w:b/>
          <w:sz w:val="22"/>
        </w:rPr>
        <w:t>How to fill this in — column by column</w:t>
      </w:r>
    </w:p>
    <w:p>
      <w:pPr>
        <w:pStyle w:val="ListParagraph"/>
      </w:pPr>
      <w:r>
        <w:rPr>
          <w:b/>
        </w:rPr>
        <w:t xml:space="preserve">Date: </w:t>
      </w:r>
      <w:r>
        <w:t>Date this immediate action was taken.</w:t>
      </w:r>
    </w:p>
    <w:p>
      <w:pPr>
        <w:pStyle w:val="ListParagraph"/>
      </w:pPr>
      <w:r>
        <w:rPr>
          <w:b/>
        </w:rPr>
        <w:t xml:space="preserve">Incident Reference: </w:t>
      </w:r>
      <w:r>
        <w:t>Which incident it relates to.</w:t>
      </w:r>
    </w:p>
    <w:p>
      <w:pPr>
        <w:pStyle w:val="ListParagraph"/>
      </w:pPr>
      <w:r>
        <w:rPr>
          <w:b/>
        </w:rPr>
        <w:t xml:space="preserve">Immediate Care/Support Provided: </w:t>
      </w:r>
      <w:r>
        <w:t>What was actually done for the patient right away — this happens before the full analysis, not after.</w:t>
      </w:r>
    </w:p>
    <w:p>
      <w:pPr>
        <w:pStyle w:val="ListParagraph"/>
      </w:pPr>
      <w:r>
        <w:rPr>
          <w:b/>
        </w:rPr>
        <w:t xml:space="preserve">Provided By: </w:t>
      </w:r>
      <w:r>
        <w:t>Who provided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Incident Reference</w:t>
            </w:r>
          </w:p>
        </w:tc>
        <w:tc>
          <w:tcPr>
            <w:tcW w:type="dxa" w:w="2420"/>
            <w:shd w:val="clear" w:fill="D9E2F3"/>
          </w:tcPr>
          <w:p>
            <w:r/>
            <w:r>
              <w:rPr>
                <w:b/>
                <w:sz w:val="20"/>
              </w:rPr>
              <w:t>Immediate Care/Support Provided</w:t>
            </w:r>
          </w:p>
        </w:tc>
        <w:tc>
          <w:tcPr>
            <w:tcW w:type="dxa" w:w="2420"/>
            <w:shd w:val="clear" w:fill="D9E2F3"/>
          </w:tcPr>
          <w:p>
            <w:r/>
            <w:r>
              <w:rPr>
                <w:b/>
                <w:sz w:val="20"/>
              </w:rPr>
              <w:t>Provided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12-Feb-2026</w:t>
            </w:r>
          </w:p>
        </w:tc>
        <w:tc>
          <w:tcPr>
            <w:tcW w:type="dxa" w:w="2420"/>
            <w:shd w:val="clear" w:fill="FFF2CC"/>
          </w:tcPr>
          <w:p>
            <w:r/>
            <w:r>
              <w:rPr>
                <w:b w:val="0"/>
                <w:sz w:val="20"/>
              </w:rPr>
              <w:t>Near-miss log entry</w:t>
            </w:r>
          </w:p>
        </w:tc>
        <w:tc>
          <w:tcPr>
            <w:tcW w:type="dxa" w:w="2420"/>
            <w:shd w:val="clear" w:fill="FFF2CC"/>
          </w:tcPr>
          <w:p>
            <w:r/>
            <w:r>
              <w:rPr>
                <w:b w:val="0"/>
                <w:sz w:val="20"/>
              </w:rPr>
              <w:t>Patient reassured; extra monitoring for 4 hours</w:t>
            </w:r>
          </w:p>
        </w:tc>
        <w:tc>
          <w:tcPr>
            <w:tcW w:type="dxa" w:w="2420"/>
            <w:shd w:val="clear" w:fill="FFF2CC"/>
          </w:tcPr>
          <w:p>
            <w:r/>
            <w:r>
              <w:rPr>
                <w:b w:val="0"/>
                <w:sz w:val="20"/>
              </w:rPr>
              <w:t>Duty Nurse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