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555555"/>
          <w:sz w:val="20"/>
        </w:rPr>
        <w:t>PSQ.7 — Incident analysis and response</w:t>
      </w:r>
    </w:p>
    <w:p>
      <w:r>
        <w:rPr>
          <w:b/>
          <w:sz w:val="30"/>
        </w:rPr>
        <w:t>PSQ.7 Record 12 — Incident analysis and response</w:t>
      </w:r>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What is this record, in plain terms?</w:t>
            </w:r>
          </w:p>
          <w:p>
            <w:r>
              <w:rPr>
                <w:sz w:val="20"/>
              </w:rPr>
              <w:t>Root-cause analysis (RCA) is a structured way of asking 'why did this actually happen' repeatedly until you reach the real, underlying cause — not just the first obvious mistake — so the fix addresses the actual problem. This record is where you keep the proof for: “Sentinel-event correction records showing initiation within 24 working hours of occurrence or reporting.” — the specific evidence element Incident analysis and response of this policy asks for. Every time this activity actually happens, whoever did it adds one new row below with: Incident Reference, Analysed By (Safety Committee), Analysis Method (RCA etc.), Started Within 24hrs (Y/N, sentinel only), Completed Within 7 Working Days (Y/N, sentinel only). A worked example row is already filled in (shaded) below the header, so you can see exactly what a completed real entry looks like — don't leave that example row mixed in with real data once you start using this record.</w:t>
            </w:r>
          </w:p>
        </w:tc>
      </w:tr>
    </w:tbl>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A real example of when you'd use this</w:t>
            </w:r>
          </w:p>
          <w:p>
            <w:r>
              <w:rPr>
                <w:sz w:val="20"/>
              </w:rPr>
              <w:t>The safety committee uses this record whenever it analyses a reported incident — including giving immediate care to those affected, and meeting the strict sentinel-event timelines. The worked example below shows a real entry: incident reference was “18-Mar-2026 sentinel-event log entry — patient fall resulting in fracture”, analysed by (safety committee) was “Safety Committee”, analysis method (rca etc.) was “Root-cause analysis”.</w:t>
            </w:r>
          </w:p>
        </w:tc>
      </w:tr>
    </w:tbl>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Why does NABH ask for this?</w:t>
            </w:r>
          </w:p>
          <w:p>
            <w:r>
              <w:rPr>
                <w:sz w:val="20"/>
              </w:rPr>
              <w:t>An incident that's reported but never properly analysed teaches the hospital nothing — this record proves the safety committee actually took responsibility for analysis, gave immediate care to whoever was affected without waiting for the analysis to finish, met the strict timelines for sentinel events (correction started within 24 hours, analysis completed within 7 working days), and — where used — ran a real root-cause analysis with input from the units involved and, where relevant, the patient or family. NABH checks this as part of how a genuine patient-safety and quality programme actually runs.</w:t>
            </w:r>
          </w:p>
        </w:tc>
      </w:tr>
    </w:tbl>
    <w:p/>
    <w:p>
      <w:r>
        <w:rPr>
          <w:b/>
          <w:sz w:val="22"/>
        </w:rPr>
        <w:t>How to fill this in — column by column</w:t>
      </w:r>
    </w:p>
    <w:p>
      <w:pPr>
        <w:pStyle w:val="ListParagraph"/>
      </w:pPr>
      <w:r>
        <w:rPr>
          <w:b/>
        </w:rPr>
        <w:t xml:space="preserve">Incident Reference: </w:t>
      </w:r>
      <w:r>
        <w:t>Which incident this analysis is for.</w:t>
      </w:r>
    </w:p>
    <w:p>
      <w:pPr>
        <w:pStyle w:val="ListParagraph"/>
      </w:pPr>
      <w:r>
        <w:rPr>
          <w:b/>
        </w:rPr>
        <w:t xml:space="preserve">Analysed By (Safety Committee): </w:t>
      </w:r>
      <w:r>
        <w:t>Confirm the Safety Committee did the analysis — this can't be one person alone.</w:t>
      </w:r>
    </w:p>
    <w:p>
      <w:pPr>
        <w:pStyle w:val="ListParagraph"/>
      </w:pPr>
      <w:r>
        <w:rPr>
          <w:b/>
        </w:rPr>
        <w:t xml:space="preserve">Analysis Method (RCA etc.): </w:t>
      </w:r>
      <w:r>
        <w:t>The method used.</w:t>
      </w:r>
    </w:p>
    <w:p>
      <w:pPr>
        <w:pStyle w:val="ListParagraph"/>
      </w:pPr>
      <w:r>
        <w:rPr>
          <w:b/>
        </w:rPr>
        <w:t xml:space="preserve">Started Within 24hrs (Y/N, sentinel only): </w:t>
      </w:r>
      <w:r>
        <w:t>For a sentinel event only: was correction action started within 24 working hours? Write Y/N, or 'N/A' for a non-sentinel incident.</w:t>
      </w:r>
    </w:p>
    <w:p>
      <w:pPr>
        <w:pStyle w:val="ListParagraph"/>
      </w:pPr>
      <w:r>
        <w:rPr>
          <w:b/>
        </w:rPr>
        <w:t xml:space="preserve">Completed Within 7 Working Days (Y/N, sentinel only): </w:t>
      </w:r>
      <w:r>
        <w:t>For a sentinel event only: was the analysis finished within 7 working days? Write Y/N, or 'N/A'.</w:t>
      </w:r>
    </w:p>
    <w:p>
      <w:r>
        <w:rPr>
          <w:b/>
          <w:sz w:val="18"/>
        </w:rPr>
        <w:t>The first data row below (shaded yellow, and marked WORKED EXAMPLE in the row itself) is a worked example already filled in correctly. Delete it or overwrite it once you start using this record for real — don't leave the example row mixed in with real entries. Add more blank rows as needed; don't create a second copy of this file.</w:t>
      </w:r>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1936"/>
        <w:gridCol w:w="1936"/>
        <w:gridCol w:w="1936"/>
        <w:gridCol w:w="1936"/>
        <w:gridCol w:w="1936"/>
      </w:tblGrid>
      <w:tr>
        <w:tc>
          <w:tcPr>
            <w:tcW w:type="dxa" w:w="1936"/>
            <w:shd w:val="clear" w:fill="D9E2F3"/>
          </w:tcPr>
          <w:p>
            <w:r/>
            <w:r>
              <w:rPr>
                <w:b/>
                <w:sz w:val="20"/>
              </w:rPr>
              <w:t>Incident Reference</w:t>
            </w:r>
          </w:p>
        </w:tc>
        <w:tc>
          <w:tcPr>
            <w:tcW w:type="dxa" w:w="1936"/>
            <w:shd w:val="clear" w:fill="D9E2F3"/>
          </w:tcPr>
          <w:p>
            <w:r/>
            <w:r>
              <w:rPr>
                <w:b/>
                <w:sz w:val="20"/>
              </w:rPr>
              <w:t>Analysed By (Safety Committee)</w:t>
            </w:r>
          </w:p>
        </w:tc>
        <w:tc>
          <w:tcPr>
            <w:tcW w:type="dxa" w:w="1936"/>
            <w:shd w:val="clear" w:fill="D9E2F3"/>
          </w:tcPr>
          <w:p>
            <w:r/>
            <w:r>
              <w:rPr>
                <w:b/>
                <w:sz w:val="20"/>
              </w:rPr>
              <w:t>Analysis Method (RCA etc.)</w:t>
            </w:r>
          </w:p>
        </w:tc>
        <w:tc>
          <w:tcPr>
            <w:tcW w:type="dxa" w:w="1936"/>
            <w:shd w:val="clear" w:fill="D9E2F3"/>
          </w:tcPr>
          <w:p>
            <w:r/>
            <w:r>
              <w:rPr>
                <w:b/>
                <w:sz w:val="20"/>
              </w:rPr>
              <w:t>Started Within 24hrs (Y/N, sentinel only)</w:t>
            </w:r>
          </w:p>
        </w:tc>
        <w:tc>
          <w:tcPr>
            <w:tcW w:type="dxa" w:w="1936"/>
            <w:shd w:val="clear" w:fill="D9E2F3"/>
          </w:tcPr>
          <w:p>
            <w:r/>
            <w:r>
              <w:rPr>
                <w:b/>
                <w:sz w:val="20"/>
              </w:rPr>
              <w:t>Completed Within 7 Working Days (Y/N, sentinel only)</w:t>
            </w:r>
          </w:p>
        </w:tc>
      </w:tr>
      <w:tr>
        <w:tc>
          <w:tcPr>
            <w:tcW w:type="dxa" w:w="9680"/>
            <w:gridSpan w:val="5"/>
            <w:shd w:val="clear" w:fill="FFF2CC"/>
          </w:tcPr>
          <w:p>
            <w:r/>
            <w:r>
              <w:rPr>
                <w:b/>
                <w:sz w:val="18"/>
              </w:rPr>
              <w:t>WORKED EXAMPLE — TRAINING ONLY — NOT AN ACTUAL HOSPITAL RECORD</w:t>
            </w:r>
          </w:p>
        </w:tc>
      </w:tr>
      <w:tr>
        <w:tc>
          <w:tcPr>
            <w:tcW w:type="dxa" w:w="1936"/>
            <w:shd w:val="clear" w:fill="FFF2CC"/>
          </w:tcPr>
          <w:p>
            <w:r/>
            <w:r>
              <w:rPr>
                <w:b w:val="0"/>
                <w:sz w:val="20"/>
              </w:rPr>
              <w:t>18-Mar-2026 sentinel-event log entry — patient fall resulting in fracture</w:t>
            </w:r>
          </w:p>
        </w:tc>
        <w:tc>
          <w:tcPr>
            <w:tcW w:type="dxa" w:w="1936"/>
            <w:shd w:val="clear" w:fill="FFF2CC"/>
          </w:tcPr>
          <w:p>
            <w:r/>
            <w:r>
              <w:rPr>
                <w:b w:val="0"/>
                <w:sz w:val="20"/>
              </w:rPr>
              <w:t>Safety Committee</w:t>
            </w:r>
          </w:p>
        </w:tc>
        <w:tc>
          <w:tcPr>
            <w:tcW w:type="dxa" w:w="1936"/>
            <w:shd w:val="clear" w:fill="FFF2CC"/>
          </w:tcPr>
          <w:p>
            <w:r/>
            <w:r>
              <w:rPr>
                <w:b w:val="0"/>
                <w:sz w:val="20"/>
              </w:rPr>
              <w:t>Root-cause analysis</w:t>
            </w:r>
          </w:p>
        </w:tc>
        <w:tc>
          <w:tcPr>
            <w:tcW w:type="dxa" w:w="1936"/>
            <w:shd w:val="clear" w:fill="FFF2CC"/>
          </w:tcPr>
          <w:p>
            <w:r/>
            <w:r>
              <w:rPr>
                <w:b w:val="0"/>
                <w:sz w:val="20"/>
              </w:rPr>
              <w:t>Y</w:t>
            </w:r>
          </w:p>
        </w:tc>
        <w:tc>
          <w:tcPr>
            <w:tcW w:type="dxa" w:w="1936"/>
            <w:shd w:val="clear" w:fill="FFF2CC"/>
          </w:tcPr>
          <w:p>
            <w:r/>
            <w:r>
              <w:rPr>
                <w:b w:val="0"/>
                <w:sz w:val="20"/>
              </w:rPr>
              <w:t>Y</w:t>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bl>
    <w:sectPr w:rsidR="00FC693F" w:rsidRPr="0006063C" w:rsidSect="00034616">
      <w:pgSz w:w="12240" w:h="15840"/>
      <w:pgMar w:top="1280" w:right="1280" w:bottom="1280" w:left="12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