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13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Root-cause analysis (RCA) is a structured way of asking 'why did this actually happen' repeatedly until you reach the real, underlying cause — not just the first obvious mistake — so the fix addresses the actual problem. This record is where you keep the proof for: “Sentinel-event analysis records showing completion within seven working days of occurrence or reporting.” — the specific evidence element Incident analysis and response of this policy asks for. Every time this activity actually happens, whoever did it adds one new row below with: Incident Reference, Analysed By (Safety Committee), Analysis Method (RCA etc.), Started Within 24hrs (Y/N, sentinel only), Completed Within 7 Working Days (Y/N, sentinel only).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incident reference was “18-Mar-2026 sentinel-event log entry — patient fall resulting in fracture”, analysed by (safety committee) was “Safety Committee”, analysis method (rca etc.) was “Root-cause analysis”.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analysis is for.</w:t>
      </w:r>
    </w:p>
    <w:p>
      <w:pPr>
        <w:pStyle w:val="ListParagraph"/>
      </w:pPr>
      <w:r>
        <w:rPr>
          <w:b/>
        </w:rPr>
        <w:t xml:space="preserve">Analysed By (Safety Committee): </w:t>
      </w:r>
      <w:r>
        <w:t>Confirm the Safety Committee did the analysis — this can't be one person alone.</w:t>
      </w:r>
    </w:p>
    <w:p>
      <w:pPr>
        <w:pStyle w:val="ListParagraph"/>
      </w:pPr>
      <w:r>
        <w:rPr>
          <w:b/>
        </w:rPr>
        <w:t xml:space="preserve">Analysis Method (RCA etc.): </w:t>
      </w:r>
      <w:r>
        <w:t>The method used.</w:t>
      </w:r>
    </w:p>
    <w:p>
      <w:pPr>
        <w:pStyle w:val="ListParagraph"/>
      </w:pPr>
      <w:r>
        <w:rPr>
          <w:b/>
        </w:rPr>
        <w:t xml:space="preserve">Started Within 24hrs (Y/N, sentinel only): </w:t>
      </w:r>
      <w:r>
        <w:t>For a sentinel event only: was correction action started within 24 working hours? Write Y/N, or 'N/A' for a non-sentinel incident.</w:t>
      </w:r>
    </w:p>
    <w:p>
      <w:pPr>
        <w:pStyle w:val="ListParagraph"/>
      </w:pPr>
      <w:r>
        <w:rPr>
          <w:b/>
        </w:rPr>
        <w:t xml:space="preserve">Completed Within 7 Working Days (Y/N, sentinel only): </w:t>
      </w:r>
      <w:r>
        <w:t>For a sentinel event only: was the analysis finished within 7 working days? Write Y/N, or 'N/A'.</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Analysed By (Safety Committee)</w:t>
            </w:r>
          </w:p>
        </w:tc>
        <w:tc>
          <w:tcPr>
            <w:tcW w:type="dxa" w:w="1936"/>
            <w:shd w:val="clear" w:fill="D9E2F3"/>
          </w:tcPr>
          <w:p>
            <w:r/>
            <w:r>
              <w:rPr>
                <w:b/>
                <w:sz w:val="20"/>
              </w:rPr>
              <w:t>Analysis Method (RCA etc.)</w:t>
            </w:r>
          </w:p>
        </w:tc>
        <w:tc>
          <w:tcPr>
            <w:tcW w:type="dxa" w:w="1936"/>
            <w:shd w:val="clear" w:fill="D9E2F3"/>
          </w:tcPr>
          <w:p>
            <w:r/>
            <w:r>
              <w:rPr>
                <w:b/>
                <w:sz w:val="20"/>
              </w:rPr>
              <w:t>Started Within 24hrs (Y/N, sentinel only)</w:t>
            </w:r>
          </w:p>
        </w:tc>
        <w:tc>
          <w:tcPr>
            <w:tcW w:type="dxa" w:w="1936"/>
            <w:shd w:val="clear" w:fill="D9E2F3"/>
          </w:tcPr>
          <w:p>
            <w:r/>
            <w:r>
              <w:rPr>
                <w:b/>
                <w:sz w:val="20"/>
              </w:rPr>
              <w:t>Completed Within 7 Working Days (Y/N, sentinel only)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18-Mar-2026 sentinel-event log entry — patient fall resulting in fracture</w:t>
            </w:r>
          </w:p>
        </w:tc>
        <w:tc>
          <w:tcPr>
            <w:tcW w:type="dxa" w:w="1936"/>
            <w:shd w:val="clear" w:fill="FFF2CC"/>
          </w:tcPr>
          <w:p>
            <w:r/>
            <w:r>
              <w:rPr>
                <w:b w:val="0"/>
                <w:sz w:val="20"/>
              </w:rPr>
              <w:t>Safety Committee</w:t>
            </w:r>
          </w:p>
        </w:tc>
        <w:tc>
          <w:tcPr>
            <w:tcW w:type="dxa" w:w="1936"/>
            <w:shd w:val="clear" w:fill="FFF2CC"/>
          </w:tcPr>
          <w:p>
            <w:r/>
            <w:r>
              <w:rPr>
                <w:b w:val="0"/>
                <w:sz w:val="20"/>
              </w:rPr>
              <w:t>Root-cause analysis</w:t>
            </w:r>
          </w:p>
        </w:tc>
        <w:tc>
          <w:tcPr>
            <w:tcW w:type="dxa" w:w="1936"/>
            <w:shd w:val="clear" w:fill="FFF2CC"/>
          </w:tcPr>
          <w:p>
            <w:r/>
            <w:r>
              <w:rPr>
                <w:b w:val="0"/>
                <w:sz w:val="20"/>
              </w:rPr>
              <w:t>Y</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