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ROM.1.b — Those responsible for governance lay down the organisation's vision, mission and values.</w:t>
      </w:r>
    </w:p>
    <w:p>
      <w:r>
        <w:rPr>
          <w:b/>
          <w:sz w:val="30"/>
        </w:rPr>
        <w:t>ROM.1 Record 4 — Those responsible for governance lay down the organisation's vision, mission and values.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“Governance-approved vision, mission and values statement, with approval date.” — the specific evidence element Those responsible for governance lay down the organisation's vision, mission and values. of this policy asks for. Every time this happens for real, whoever is responsible adds one new row below with: Version, Date Approved, Approved By, Named Owner,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 the vision, mission and values statement is approved, displayed, or later reviewed. The worked example below shows a real entry: on 10-Jan-2026, version was “v1.0”, approved by was “Governing Body”, named owner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vision and mission nobody outside the boardroom has ever seen can't actually guide anyone's daily decisions — this record proves it was genuinely approved by governance and genuinely made visible to staff and stakeholders, not just written and filed. NABH checks this as part of how a functioning governance and leadership structure actually runs.</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 — not the date it was drafted.</w:t>
      </w:r>
    </w:p>
    <w:p>
      <w:pPr>
        <w:pStyle w:val="ListParagraph"/>
      </w:pPr>
      <w:r>
        <w:rPr>
          <w:b/>
        </w:rPr>
        <w:t xml:space="preserve">Approved By: </w:t>
      </w:r>
      <w:r>
        <w:t>Who approved it — the governing body, by a minuted decision, not a single manager signing alone unless the by-laws say that's sufficient.</w:t>
      </w:r>
    </w:p>
    <w:p>
      <w:pPr>
        <w:pStyle w:val="ListParagraph"/>
      </w:pPr>
      <w:r>
        <w:rPr>
          <w:b/>
        </w:rPr>
        <w:t xml:space="preserve">Named Owner: </w:t>
      </w:r>
      <w:r>
        <w:t>The single named person accountable for keeping this framework current — a person, not a department.</w:t>
      </w:r>
    </w:p>
    <w:p>
      <w:pPr>
        <w:pStyle w:val="ListParagraph"/>
      </w:pPr>
      <w:r>
        <w:rPr>
          <w:b/>
        </w:rPr>
        <w:t xml:space="preserve">Next Review Due: </w:t>
      </w:r>
      <w:r>
        <w:t>The date this framework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Named Owner</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Governing Body</w:t>
            </w:r>
          </w:p>
        </w:tc>
        <w:tc>
          <w:tcPr>
            <w:tcW w:type="dxa" w:w="1936"/>
            <w:shd w:val="clear" w:fill="FFF2CC"/>
          </w:tcPr>
          <w:p>
            <w:r/>
            <w:r>
              <w:rPr>
                <w:b w:val="0"/>
                <w:sz w:val="20"/>
              </w:rPr>
              <w:t>Medical Superintendent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