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ROM.2.c — The organisation discloses its ownership.</w:t>
      </w:r>
    </w:p>
    <w:p>
      <w:r>
        <w:rPr>
          <w:b/>
          <w:sz w:val="30"/>
        </w:rPr>
        <w:t>ROM.2 Record 7 — The organisation discloses its ownership.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“Current ownership-disclosure text consistent with the hospital’s legal form of registration.” — the specific evidence element The organisation discloses its ownership. of this policy asks for. Every time this happens for real, whoever is responsible adds one new row below with: Legal Form of Registration, Ownership Disclosure Text, Date Last Confirmed.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the ownership disclosure is first published, or annually re-confirmed as current. The worked example below shows a real entry: on 10-Jan-2026, legal form of registration was “Private limited company (Companies Act, 2013)”, ownership disclosure text was “Wholly owned by [Company Name] Pvt. Ltd.; directors listed on registration certificate”.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that's vague about who actually owns it invites exactly the kind of distrust NABH is trying to prevent — this record proves the real ownership, matching the real legal registration, is genuinely disclosed and kept current.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Legal Form of Registration: </w:t>
      </w:r>
      <w:r>
        <w:t>The hospital's actual legal form of registration — name the real act it's registered under.</w:t>
      </w:r>
    </w:p>
    <w:p>
      <w:pPr>
        <w:pStyle w:val="ListParagraph"/>
      </w:pPr>
      <w:r>
        <w:rPr>
          <w:b/>
        </w:rPr>
        <w:t xml:space="preserve">Ownership Disclosure Text: </w:t>
      </w:r>
      <w:r>
        <w:t>The actual ownership statement as disclosed — not a placeholder.</w:t>
      </w:r>
    </w:p>
    <w:p>
      <w:pPr>
        <w:pStyle w:val="ListParagraph"/>
      </w:pPr>
      <w:r>
        <w:rPr>
          <w:b/>
        </w:rPr>
        <w:t xml:space="preserve">Date Last Confirmed: </w:t>
      </w:r>
      <w:r>
        <w:t>The date this was last confirmed still accurate against the registration certificate.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Legal Form of Registration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Ownership Disclosure Text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Last Confirmed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Private limited company (Companies Act, 2013)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Wholly owned by [Company Name] Pvt. Ltd.; directors listed on registration certificate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